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6990AAB7"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74479E">
        <w:rPr>
          <w:rFonts w:ascii="Aptos Display" w:eastAsia="Gill Sans MT" w:hAnsi="Aptos Display" w:cs="Gill Sans MT"/>
          <w:sz w:val="40"/>
          <w:szCs w:val="40"/>
        </w:rPr>
        <w:t>4</w:t>
      </w:r>
      <w:r w:rsidRPr="00C97A03">
        <w:rPr>
          <w:rFonts w:ascii="Aptos Display" w:eastAsia="Gill Sans MT" w:hAnsi="Aptos Display" w:cs="Gill Sans MT"/>
          <w:sz w:val="40"/>
          <w:szCs w:val="40"/>
        </w:rPr>
        <w:t>.0</w:t>
      </w:r>
      <w:r w:rsidR="005639B8">
        <w:rPr>
          <w:rFonts w:ascii="Aptos Display" w:eastAsia="Gill Sans MT" w:hAnsi="Aptos Display" w:cs="Gill Sans MT"/>
          <w:sz w:val="40"/>
          <w:szCs w:val="40"/>
        </w:rPr>
        <w:t>3</w:t>
      </w:r>
      <w:r w:rsidRPr="00C97A03">
        <w:rPr>
          <w:rFonts w:ascii="Aptos Display" w:eastAsia="Gill Sans MT" w:hAnsi="Aptos Display" w:cs="Gill Sans MT"/>
          <w:sz w:val="40"/>
          <w:szCs w:val="40"/>
        </w:rPr>
        <w:t>.0</w:t>
      </w:r>
      <w:r w:rsidR="00D6213F">
        <w:rPr>
          <w:rFonts w:ascii="Aptos Display" w:eastAsia="Gill Sans MT" w:hAnsi="Aptos Display" w:cs="Gill Sans MT"/>
          <w:sz w:val="40"/>
          <w:szCs w:val="40"/>
        </w:rPr>
        <w:t>1</w:t>
      </w:r>
    </w:p>
    <w:p w14:paraId="51790FF3" w14:textId="53ADAFC2" w:rsidR="0074479E" w:rsidRPr="005639B8" w:rsidRDefault="005639B8" w:rsidP="005639B8">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Oczyszczenie i skropienie warstw konstrukcyjnych</w:t>
      </w:r>
    </w:p>
    <w:p w14:paraId="7704D10C" w14:textId="77777777" w:rsidR="005639B8" w:rsidRPr="005639B8" w:rsidRDefault="005639B8" w:rsidP="005639B8">
      <w:pPr>
        <w:pStyle w:val="Standard"/>
        <w:pageBreakBefore/>
        <w:numPr>
          <w:ilvl w:val="0"/>
          <w:numId w:val="58"/>
        </w:numPr>
        <w:tabs>
          <w:tab w:val="left" w:pos="567"/>
          <w:tab w:val="right" w:leader="dot" w:pos="7937"/>
          <w:tab w:val="right" w:leader="dot" w:pos="9638"/>
        </w:tabs>
        <w:jc w:val="both"/>
        <w:rPr>
          <w:rFonts w:ascii="Aptos Display" w:hAnsi="Aptos Display"/>
          <w:sz w:val="18"/>
          <w:szCs w:val="18"/>
        </w:rPr>
      </w:pPr>
      <w:r w:rsidRPr="005639B8">
        <w:rPr>
          <w:rFonts w:ascii="Aptos Display" w:hAnsi="Aptos Display"/>
          <w:sz w:val="18"/>
          <w:szCs w:val="18"/>
        </w:rPr>
        <w:lastRenderedPageBreak/>
        <w:t>WSTĘP</w:t>
      </w:r>
    </w:p>
    <w:p w14:paraId="0ED4A1F6"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Przedmiot SST</w:t>
      </w:r>
    </w:p>
    <w:p w14:paraId="0E5623BA" w14:textId="121FA53A" w:rsid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Przedmiotem niniejszej szczegółowej specyfikacji technicznej (SST) są wymagania dotyczące wykonania i odbioru robót związanych z oczyszczeniem i skropieniem warstw konstrukcyjnych nawierzchn</w:t>
      </w:r>
      <w:r>
        <w:rPr>
          <w:rFonts w:ascii="Aptos Display" w:hAnsi="Aptos Display"/>
          <w:sz w:val="18"/>
          <w:szCs w:val="18"/>
        </w:rPr>
        <w:t>i, które zostaną wykonane w ramach zadania pn.:</w:t>
      </w:r>
    </w:p>
    <w:p w14:paraId="2C1B1125" w14:textId="77777777" w:rsidR="004E387B" w:rsidRDefault="004E387B" w:rsidP="004E387B">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4FC5006A" w14:textId="77777777" w:rsidR="005639B8" w:rsidRPr="005639B8" w:rsidRDefault="005639B8" w:rsidP="005639B8">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19A54361"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Zakres stosowania SST</w:t>
      </w:r>
    </w:p>
    <w:p w14:paraId="7416AB8A"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Niniejsza szczegółowa specyfikacja techniczna SST stanowi dokument przetargowy i kontraktowy przy zlecaniu i realizacji robót drogowych wymienionych w pkt. 1.1.</w:t>
      </w:r>
    </w:p>
    <w:p w14:paraId="24BFBC07"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Zakres robót objętych SST</w:t>
      </w:r>
    </w:p>
    <w:p w14:paraId="6A9D2BC9"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Ustalenia zawarte w niniejszej specyfikacji dotyczą zasad prowadzenia robót związanych z oczyszczeniem i skropieniem warstw konstrukcyjnych przed ułożeniem następnej warstwy nawierzchni.</w:t>
      </w:r>
    </w:p>
    <w:p w14:paraId="2AA5B6A8"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Określenia podstawowe</w:t>
      </w:r>
    </w:p>
    <w:p w14:paraId="325D0F71"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Określenia podstawowe są zgodne z obowiązującymi, odpowiednimi polskimi normami</w:t>
      </w:r>
    </w:p>
    <w:p w14:paraId="372635AC"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i z definicjami podanymi w SST  D-00.00.00 Wymagania ogólne pkt 1.4.</w:t>
      </w:r>
    </w:p>
    <w:p w14:paraId="4FE5D63C"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robót</w:t>
      </w:r>
    </w:p>
    <w:p w14:paraId="3F5891F7"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robót podano w SST D-00.00.00 Wzmagania ogólne pkt 1.5.</w:t>
      </w:r>
    </w:p>
    <w:p w14:paraId="43E48639"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30FE1C37"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MATERIAŁY</w:t>
      </w:r>
    </w:p>
    <w:p w14:paraId="1F8D25DA"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materiałów</w:t>
      </w:r>
    </w:p>
    <w:p w14:paraId="04F1D4B2"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materiałów, ich pozyskiwania i składowania, podano w SST D-00.00.00 Wymagania ogólne pkt 2.</w:t>
      </w:r>
    </w:p>
    <w:p w14:paraId="4C79627E"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Rodzaje materiałów do wykonania skropienia</w:t>
      </w:r>
    </w:p>
    <w:p w14:paraId="67C44D9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Materiałami stosowanymi przy skropieniu warstw konstrukcyjnych nawierzchni są kationowe emulsje asfaltowe spełniające wymagania normy PN-EN 13808. Kationowe emulsje asfaltowe przeznaczone do łączenia warstw konstrukcji nawierzchni powinny spełniać wymagania określone w tablicy 1.</w:t>
      </w:r>
    </w:p>
    <w:p w14:paraId="44836025"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7F0C4474"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Tablica 1. Wymagania dotyczące kationowych emulsji asfaltowych stosowanych do złączenia warstw nawierzchni wg PN-EN 13808.  </w:t>
      </w:r>
    </w:p>
    <w:tbl>
      <w:tblPr>
        <w:tblW w:w="9485" w:type="dxa"/>
        <w:jc w:val="center"/>
        <w:tblLayout w:type="fixed"/>
        <w:tblCellMar>
          <w:left w:w="10" w:type="dxa"/>
          <w:right w:w="10" w:type="dxa"/>
        </w:tblCellMar>
        <w:tblLook w:val="0000" w:firstRow="0" w:lastRow="0" w:firstColumn="0" w:lastColumn="0" w:noHBand="0" w:noVBand="0"/>
      </w:tblPr>
      <w:tblGrid>
        <w:gridCol w:w="2360"/>
        <w:gridCol w:w="1620"/>
        <w:gridCol w:w="900"/>
        <w:gridCol w:w="1620"/>
        <w:gridCol w:w="1530"/>
        <w:gridCol w:w="1455"/>
      </w:tblGrid>
      <w:tr w:rsidR="005639B8" w:rsidRPr="005639B8" w14:paraId="32251235" w14:textId="77777777" w:rsidTr="000F0899">
        <w:trPr>
          <w:cantSplit/>
          <w:trHeight w:val="23"/>
          <w:jc w:val="center"/>
        </w:trPr>
        <w:tc>
          <w:tcPr>
            <w:tcW w:w="2360" w:type="dxa"/>
            <w:vMerge w:val="restart"/>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14AB0E41" w14:textId="77777777" w:rsidR="005639B8" w:rsidRPr="005639B8" w:rsidRDefault="005639B8" w:rsidP="005639B8">
            <w:pPr>
              <w:pStyle w:val="Standard"/>
              <w:keepNext/>
              <w:tabs>
                <w:tab w:val="left" w:pos="567"/>
              </w:tabs>
              <w:spacing w:before="60"/>
              <w:jc w:val="both"/>
              <w:rPr>
                <w:rFonts w:ascii="Aptos Display" w:hAnsi="Aptos Display"/>
                <w:sz w:val="18"/>
                <w:szCs w:val="18"/>
              </w:rPr>
            </w:pPr>
            <w:r w:rsidRPr="005639B8">
              <w:rPr>
                <w:rFonts w:ascii="Aptos Display" w:hAnsi="Aptos Display"/>
                <w:sz w:val="18"/>
                <w:szCs w:val="18"/>
              </w:rPr>
              <w:t>Wymagania techniczne</w:t>
            </w:r>
          </w:p>
        </w:tc>
        <w:tc>
          <w:tcPr>
            <w:tcW w:w="1620" w:type="dxa"/>
            <w:vMerge w:val="restart"/>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014E8DB0" w14:textId="77777777" w:rsidR="005639B8" w:rsidRPr="005639B8" w:rsidRDefault="005639B8" w:rsidP="005639B8">
            <w:pPr>
              <w:pStyle w:val="Standard"/>
              <w:keepNext/>
              <w:tabs>
                <w:tab w:val="left" w:pos="567"/>
              </w:tabs>
              <w:spacing w:before="60"/>
              <w:jc w:val="both"/>
              <w:rPr>
                <w:rFonts w:ascii="Aptos Display" w:hAnsi="Aptos Display"/>
                <w:sz w:val="18"/>
                <w:szCs w:val="18"/>
              </w:rPr>
            </w:pPr>
            <w:r w:rsidRPr="005639B8">
              <w:rPr>
                <w:rFonts w:ascii="Aptos Display" w:hAnsi="Aptos Display"/>
                <w:sz w:val="18"/>
                <w:szCs w:val="18"/>
              </w:rPr>
              <w:t>Metoda badań wg normy</w:t>
            </w:r>
          </w:p>
        </w:tc>
        <w:tc>
          <w:tcPr>
            <w:tcW w:w="900" w:type="dxa"/>
            <w:vMerge w:val="restart"/>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3D9E43A6" w14:textId="77777777" w:rsidR="005639B8" w:rsidRPr="005639B8" w:rsidRDefault="005639B8" w:rsidP="005639B8">
            <w:pPr>
              <w:pStyle w:val="Standard"/>
              <w:keepNext/>
              <w:tabs>
                <w:tab w:val="left" w:pos="567"/>
              </w:tabs>
              <w:spacing w:before="60"/>
              <w:jc w:val="both"/>
              <w:rPr>
                <w:rFonts w:ascii="Aptos Display" w:hAnsi="Aptos Display"/>
                <w:sz w:val="18"/>
                <w:szCs w:val="18"/>
              </w:rPr>
            </w:pPr>
            <w:r w:rsidRPr="005639B8">
              <w:rPr>
                <w:rFonts w:ascii="Aptos Display" w:hAnsi="Aptos Display"/>
                <w:sz w:val="18"/>
                <w:szCs w:val="18"/>
              </w:rPr>
              <w:t>Jedno-</w:t>
            </w:r>
            <w:proofErr w:type="spellStart"/>
            <w:r w:rsidRPr="005639B8">
              <w:rPr>
                <w:rFonts w:ascii="Aptos Display" w:hAnsi="Aptos Display"/>
                <w:sz w:val="18"/>
                <w:szCs w:val="18"/>
              </w:rPr>
              <w:t>stka</w:t>
            </w:r>
            <w:proofErr w:type="spellEnd"/>
          </w:p>
        </w:tc>
        <w:tc>
          <w:tcPr>
            <w:tcW w:w="1620" w:type="dxa"/>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7B95FF4F" w14:textId="77777777" w:rsidR="005639B8" w:rsidRPr="005639B8" w:rsidRDefault="005639B8" w:rsidP="005639B8">
            <w:pPr>
              <w:pStyle w:val="Standard"/>
              <w:keepNext/>
              <w:tabs>
                <w:tab w:val="left" w:pos="567"/>
              </w:tabs>
              <w:spacing w:before="60"/>
              <w:jc w:val="both"/>
              <w:rPr>
                <w:rFonts w:ascii="Aptos Display" w:hAnsi="Aptos Display"/>
                <w:sz w:val="18"/>
                <w:szCs w:val="18"/>
              </w:rPr>
            </w:pPr>
            <w:r w:rsidRPr="005639B8">
              <w:rPr>
                <w:rFonts w:ascii="Aptos Display" w:hAnsi="Aptos Display"/>
                <w:sz w:val="18"/>
                <w:szCs w:val="18"/>
              </w:rPr>
              <w:t>C60 B3 ZM</w:t>
            </w:r>
            <w:r w:rsidRPr="005639B8">
              <w:rPr>
                <w:rFonts w:ascii="Aptos Display" w:hAnsi="Aptos Display"/>
                <w:sz w:val="18"/>
                <w:szCs w:val="18"/>
                <w:vertAlign w:val="superscript"/>
              </w:rPr>
              <w:t>1)</w:t>
            </w:r>
          </w:p>
        </w:tc>
        <w:tc>
          <w:tcPr>
            <w:tcW w:w="1530" w:type="dxa"/>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4470745B" w14:textId="77777777" w:rsidR="005639B8" w:rsidRPr="005639B8" w:rsidRDefault="005639B8" w:rsidP="005639B8">
            <w:pPr>
              <w:pStyle w:val="Standard"/>
              <w:keepNext/>
              <w:tabs>
                <w:tab w:val="left" w:pos="567"/>
              </w:tabs>
              <w:spacing w:before="60"/>
              <w:jc w:val="both"/>
              <w:rPr>
                <w:rFonts w:ascii="Aptos Display" w:hAnsi="Aptos Display"/>
                <w:sz w:val="18"/>
                <w:szCs w:val="18"/>
              </w:rPr>
            </w:pPr>
            <w:r w:rsidRPr="005639B8">
              <w:rPr>
                <w:rFonts w:ascii="Aptos Display" w:hAnsi="Aptos Display"/>
                <w:sz w:val="18"/>
                <w:szCs w:val="18"/>
              </w:rPr>
              <w:t>C60 BP3 ZM</w:t>
            </w:r>
            <w:r w:rsidRPr="005639B8">
              <w:rPr>
                <w:rFonts w:ascii="Aptos Display" w:hAnsi="Aptos Display"/>
                <w:sz w:val="18"/>
                <w:szCs w:val="18"/>
                <w:vertAlign w:val="superscript"/>
              </w:rPr>
              <w:t>1)</w:t>
            </w:r>
          </w:p>
        </w:tc>
        <w:tc>
          <w:tcPr>
            <w:tcW w:w="1455" w:type="dxa"/>
            <w:tcBorders>
              <w:top w:val="single" w:sz="4" w:space="0" w:color="000000"/>
              <w:left w:val="single" w:sz="6" w:space="0" w:color="000000"/>
              <w:bottom w:val="single" w:sz="6" w:space="0" w:color="000000"/>
              <w:right w:val="single" w:sz="6" w:space="0" w:color="000000"/>
            </w:tcBorders>
            <w:shd w:val="clear" w:color="auto" w:fill="auto"/>
            <w:tcMar>
              <w:top w:w="28" w:type="dxa"/>
              <w:left w:w="57" w:type="dxa"/>
              <w:bottom w:w="28" w:type="dxa"/>
              <w:right w:w="57" w:type="dxa"/>
            </w:tcMar>
            <w:vAlign w:val="center"/>
          </w:tcPr>
          <w:p w14:paraId="292CAE3D" w14:textId="77777777" w:rsidR="005639B8" w:rsidRPr="005639B8" w:rsidRDefault="005639B8" w:rsidP="005639B8">
            <w:pPr>
              <w:pStyle w:val="Standard"/>
              <w:keepNext/>
              <w:tabs>
                <w:tab w:val="left" w:pos="567"/>
              </w:tabs>
              <w:spacing w:before="60"/>
              <w:jc w:val="both"/>
              <w:rPr>
                <w:rFonts w:ascii="Aptos Display" w:hAnsi="Aptos Display"/>
                <w:sz w:val="18"/>
                <w:szCs w:val="18"/>
              </w:rPr>
            </w:pPr>
            <w:r w:rsidRPr="005639B8">
              <w:rPr>
                <w:rFonts w:ascii="Aptos Display" w:hAnsi="Aptos Display"/>
                <w:sz w:val="18"/>
                <w:szCs w:val="18"/>
              </w:rPr>
              <w:t>C60 B5 ZM</w:t>
            </w:r>
            <w:r w:rsidRPr="005639B8">
              <w:rPr>
                <w:rFonts w:ascii="Aptos Display" w:hAnsi="Aptos Display"/>
                <w:sz w:val="18"/>
                <w:szCs w:val="18"/>
                <w:vertAlign w:val="superscript"/>
              </w:rPr>
              <w:t>1)</w:t>
            </w:r>
          </w:p>
        </w:tc>
      </w:tr>
      <w:tr w:rsidR="005639B8" w:rsidRPr="005639B8" w14:paraId="356BCD16" w14:textId="77777777" w:rsidTr="000F0899">
        <w:trPr>
          <w:cantSplit/>
          <w:trHeight w:val="178"/>
          <w:jc w:val="center"/>
        </w:trPr>
        <w:tc>
          <w:tcPr>
            <w:tcW w:w="2360" w:type="dxa"/>
            <w:vMerge/>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53384FFF" w14:textId="77777777" w:rsidR="005639B8" w:rsidRPr="005639B8" w:rsidRDefault="005639B8" w:rsidP="005639B8">
            <w:pPr>
              <w:tabs>
                <w:tab w:val="left" w:pos="567"/>
              </w:tabs>
              <w:jc w:val="both"/>
              <w:rPr>
                <w:rFonts w:ascii="Aptos Display" w:hAnsi="Aptos Display"/>
                <w:sz w:val="18"/>
                <w:szCs w:val="18"/>
              </w:rPr>
            </w:pPr>
          </w:p>
        </w:tc>
        <w:tc>
          <w:tcPr>
            <w:tcW w:w="1620" w:type="dxa"/>
            <w:vMerge/>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3261D430" w14:textId="77777777" w:rsidR="005639B8" w:rsidRPr="005639B8" w:rsidRDefault="005639B8" w:rsidP="005639B8">
            <w:pPr>
              <w:tabs>
                <w:tab w:val="left" w:pos="567"/>
              </w:tabs>
              <w:jc w:val="both"/>
              <w:rPr>
                <w:rFonts w:ascii="Aptos Display" w:hAnsi="Aptos Display"/>
                <w:sz w:val="18"/>
                <w:szCs w:val="18"/>
              </w:rPr>
            </w:pPr>
          </w:p>
        </w:tc>
        <w:tc>
          <w:tcPr>
            <w:tcW w:w="900" w:type="dxa"/>
            <w:vMerge/>
            <w:tcBorders>
              <w:top w:val="single" w:sz="4" w:space="0" w:color="000000"/>
              <w:left w:val="single" w:sz="6" w:space="0" w:color="000000"/>
              <w:bottom w:val="single" w:sz="6" w:space="0" w:color="000000"/>
            </w:tcBorders>
            <w:shd w:val="clear" w:color="auto" w:fill="auto"/>
            <w:tcMar>
              <w:top w:w="28" w:type="dxa"/>
              <w:left w:w="57" w:type="dxa"/>
              <w:bottom w:w="28" w:type="dxa"/>
              <w:right w:w="57" w:type="dxa"/>
            </w:tcMar>
            <w:vAlign w:val="center"/>
          </w:tcPr>
          <w:p w14:paraId="6E15F426" w14:textId="77777777" w:rsidR="005639B8" w:rsidRPr="005639B8" w:rsidRDefault="005639B8" w:rsidP="005639B8">
            <w:pPr>
              <w:tabs>
                <w:tab w:val="left" w:pos="567"/>
              </w:tabs>
              <w:jc w:val="both"/>
              <w:rPr>
                <w:rFonts w:ascii="Aptos Display" w:hAnsi="Aptos Display"/>
                <w:sz w:val="18"/>
                <w:szCs w:val="18"/>
              </w:rPr>
            </w:pPr>
          </w:p>
        </w:tc>
        <w:tc>
          <w:tcPr>
            <w:tcW w:w="1620" w:type="dxa"/>
            <w:tcBorders>
              <w:top w:val="single" w:sz="6" w:space="0" w:color="000000"/>
              <w:left w:val="single" w:sz="6" w:space="0" w:color="000000"/>
              <w:bottom w:val="double" w:sz="4" w:space="0" w:color="000000"/>
            </w:tcBorders>
            <w:shd w:val="clear" w:color="auto" w:fill="auto"/>
            <w:tcMar>
              <w:top w:w="28" w:type="dxa"/>
              <w:left w:w="57" w:type="dxa"/>
              <w:bottom w:w="28" w:type="dxa"/>
              <w:right w:w="57" w:type="dxa"/>
            </w:tcMar>
            <w:vAlign w:val="center"/>
          </w:tcPr>
          <w:p w14:paraId="5B445748"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Do złączania warstw asfaltów z asfaltów niemodyfiko</w:t>
            </w:r>
            <w:r w:rsidRPr="005639B8">
              <w:rPr>
                <w:rFonts w:ascii="Aptos Display" w:hAnsi="Aptos Display"/>
                <w:sz w:val="18"/>
                <w:szCs w:val="18"/>
              </w:rPr>
              <w:softHyphen/>
              <w:t>wanych</w:t>
            </w:r>
          </w:p>
        </w:tc>
        <w:tc>
          <w:tcPr>
            <w:tcW w:w="1530" w:type="dxa"/>
            <w:tcBorders>
              <w:top w:val="single" w:sz="6" w:space="0" w:color="000000"/>
              <w:left w:val="single" w:sz="6" w:space="0" w:color="000000"/>
              <w:bottom w:val="double" w:sz="4" w:space="0" w:color="000000"/>
            </w:tcBorders>
            <w:shd w:val="clear" w:color="auto" w:fill="auto"/>
            <w:tcMar>
              <w:top w:w="28" w:type="dxa"/>
              <w:left w:w="57" w:type="dxa"/>
              <w:bottom w:w="28" w:type="dxa"/>
              <w:right w:w="57" w:type="dxa"/>
            </w:tcMar>
            <w:vAlign w:val="center"/>
          </w:tcPr>
          <w:p w14:paraId="67D53A33"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Do złączania wszystkich warstw asfaltowych</w:t>
            </w:r>
          </w:p>
        </w:tc>
        <w:tc>
          <w:tcPr>
            <w:tcW w:w="1455" w:type="dxa"/>
            <w:tcBorders>
              <w:top w:val="single" w:sz="6" w:space="0" w:color="000000"/>
              <w:left w:val="single" w:sz="6" w:space="0" w:color="000000"/>
              <w:bottom w:val="double" w:sz="4" w:space="0" w:color="000000"/>
              <w:right w:val="single" w:sz="6" w:space="0" w:color="000000"/>
            </w:tcBorders>
            <w:shd w:val="clear" w:color="auto" w:fill="auto"/>
            <w:tcMar>
              <w:top w:w="28" w:type="dxa"/>
              <w:left w:w="57" w:type="dxa"/>
              <w:bottom w:w="28" w:type="dxa"/>
              <w:right w:w="57" w:type="dxa"/>
            </w:tcMar>
            <w:vAlign w:val="center"/>
          </w:tcPr>
          <w:p w14:paraId="7A269695"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Do złączania wszystkich warstw asfaltowych</w:t>
            </w:r>
          </w:p>
        </w:tc>
      </w:tr>
      <w:tr w:rsidR="005639B8" w:rsidRPr="005639B8" w14:paraId="1A88F4B3" w14:textId="77777777" w:rsidTr="000F0899">
        <w:trPr>
          <w:cantSplit/>
          <w:jc w:val="center"/>
        </w:trPr>
        <w:tc>
          <w:tcPr>
            <w:tcW w:w="2360" w:type="dxa"/>
            <w:tcBorders>
              <w:top w:val="double" w:sz="4" w:space="0" w:color="000000"/>
              <w:left w:val="single" w:sz="6" w:space="0" w:color="000000"/>
              <w:bottom w:val="single" w:sz="6" w:space="0" w:color="000000"/>
            </w:tcBorders>
            <w:tcMar>
              <w:top w:w="28" w:type="dxa"/>
              <w:left w:w="57" w:type="dxa"/>
              <w:bottom w:w="28" w:type="dxa"/>
              <w:right w:w="57" w:type="dxa"/>
            </w:tcMar>
          </w:tcPr>
          <w:p w14:paraId="03A7A1AF" w14:textId="77777777" w:rsidR="005639B8" w:rsidRPr="005639B8" w:rsidRDefault="005639B8" w:rsidP="005639B8">
            <w:pPr>
              <w:pStyle w:val="Tekstkomentarza2"/>
              <w:widowControl/>
              <w:tabs>
                <w:tab w:val="left" w:pos="425"/>
                <w:tab w:val="left" w:pos="567"/>
                <w:tab w:val="left" w:pos="851"/>
                <w:tab w:val="left" w:pos="1276"/>
                <w:tab w:val="left" w:pos="1701"/>
                <w:tab w:val="left" w:pos="2126"/>
                <w:tab w:val="left" w:pos="2552"/>
                <w:tab w:val="left" w:pos="3402"/>
                <w:tab w:val="left" w:pos="6804"/>
                <w:tab w:val="left" w:pos="7655"/>
                <w:tab w:val="left" w:pos="8505"/>
              </w:tabs>
              <w:jc w:val="both"/>
              <w:rPr>
                <w:rFonts w:ascii="Aptos Display" w:hAnsi="Aptos Display"/>
                <w:sz w:val="18"/>
                <w:szCs w:val="18"/>
              </w:rPr>
            </w:pPr>
            <w:r w:rsidRPr="005639B8">
              <w:rPr>
                <w:rFonts w:ascii="Aptos Display" w:hAnsi="Aptos Display"/>
                <w:sz w:val="18"/>
                <w:szCs w:val="18"/>
              </w:rPr>
              <w:t>Indeks rozpadu</w:t>
            </w:r>
            <w:r w:rsidRPr="005639B8">
              <w:rPr>
                <w:rFonts w:ascii="Aptos Display" w:hAnsi="Aptos Display"/>
                <w:sz w:val="18"/>
                <w:szCs w:val="18"/>
                <w:vertAlign w:val="superscript"/>
              </w:rPr>
              <w:t>2)</w:t>
            </w:r>
          </w:p>
        </w:tc>
        <w:tc>
          <w:tcPr>
            <w:tcW w:w="1620" w:type="dxa"/>
            <w:tcBorders>
              <w:top w:val="double" w:sz="4" w:space="0" w:color="000000"/>
              <w:left w:val="single" w:sz="6" w:space="0" w:color="000000"/>
              <w:bottom w:val="single" w:sz="6" w:space="0" w:color="000000"/>
            </w:tcBorders>
            <w:tcMar>
              <w:top w:w="28" w:type="dxa"/>
              <w:left w:w="57" w:type="dxa"/>
              <w:bottom w:w="28" w:type="dxa"/>
              <w:right w:w="57" w:type="dxa"/>
            </w:tcMar>
          </w:tcPr>
          <w:p w14:paraId="50F25E23"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PN-EN 13075-1</w:t>
            </w:r>
          </w:p>
        </w:tc>
        <w:tc>
          <w:tcPr>
            <w:tcW w:w="900" w:type="dxa"/>
            <w:tcBorders>
              <w:top w:val="double" w:sz="4" w:space="0" w:color="000000"/>
              <w:left w:val="single" w:sz="6" w:space="0" w:color="000000"/>
              <w:bottom w:val="single" w:sz="6" w:space="0" w:color="000000"/>
            </w:tcBorders>
            <w:tcMar>
              <w:top w:w="28" w:type="dxa"/>
              <w:left w:w="57" w:type="dxa"/>
              <w:bottom w:w="28" w:type="dxa"/>
              <w:right w:w="57" w:type="dxa"/>
            </w:tcMar>
          </w:tcPr>
          <w:p w14:paraId="7D123AF4"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w:t>
            </w:r>
          </w:p>
        </w:tc>
        <w:tc>
          <w:tcPr>
            <w:tcW w:w="1620" w:type="dxa"/>
            <w:tcBorders>
              <w:top w:val="double" w:sz="4" w:space="0" w:color="000000"/>
              <w:left w:val="single" w:sz="6" w:space="0" w:color="000000"/>
              <w:bottom w:val="single" w:sz="6" w:space="0" w:color="000000"/>
            </w:tcBorders>
            <w:tcMar>
              <w:top w:w="28" w:type="dxa"/>
              <w:left w:w="57" w:type="dxa"/>
              <w:bottom w:w="28" w:type="dxa"/>
              <w:right w:w="57" w:type="dxa"/>
            </w:tcMar>
          </w:tcPr>
          <w:p w14:paraId="3F6CA577"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50÷100 (3)</w:t>
            </w:r>
          </w:p>
        </w:tc>
        <w:tc>
          <w:tcPr>
            <w:tcW w:w="1530" w:type="dxa"/>
            <w:tcBorders>
              <w:top w:val="double" w:sz="4" w:space="0" w:color="000000"/>
              <w:left w:val="single" w:sz="6" w:space="0" w:color="000000"/>
              <w:bottom w:val="single" w:sz="6" w:space="0" w:color="000000"/>
            </w:tcBorders>
            <w:tcMar>
              <w:top w:w="28" w:type="dxa"/>
              <w:left w:w="57" w:type="dxa"/>
              <w:bottom w:w="28" w:type="dxa"/>
              <w:right w:w="57" w:type="dxa"/>
            </w:tcMar>
          </w:tcPr>
          <w:p w14:paraId="4614A5C4"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50÷100 (3)</w:t>
            </w:r>
          </w:p>
        </w:tc>
        <w:tc>
          <w:tcPr>
            <w:tcW w:w="1455" w:type="dxa"/>
            <w:tcBorders>
              <w:top w:val="double" w:sz="4" w:space="0" w:color="000000"/>
              <w:left w:val="single" w:sz="6" w:space="0" w:color="000000"/>
              <w:bottom w:val="single" w:sz="6" w:space="0" w:color="000000"/>
              <w:right w:val="single" w:sz="6" w:space="0" w:color="000000"/>
            </w:tcBorders>
            <w:tcMar>
              <w:top w:w="28" w:type="dxa"/>
              <w:left w:w="57" w:type="dxa"/>
              <w:bottom w:w="28" w:type="dxa"/>
              <w:right w:w="57" w:type="dxa"/>
            </w:tcMar>
          </w:tcPr>
          <w:p w14:paraId="21281A62"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120÷180 (5)</w:t>
            </w:r>
          </w:p>
        </w:tc>
      </w:tr>
      <w:tr w:rsidR="005639B8" w:rsidRPr="005639B8" w14:paraId="3AC1E199"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13203B5D"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Zawartość lepiszcza</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56922B70"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1428</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40993A8F"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%(m/m)</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516855BE" w14:textId="77777777" w:rsidR="005639B8" w:rsidRPr="005639B8" w:rsidRDefault="005639B8" w:rsidP="005639B8">
            <w:pPr>
              <w:pStyle w:val="Standard"/>
              <w:tabs>
                <w:tab w:val="left" w:pos="567"/>
              </w:tabs>
              <w:overflowPunct w:val="0"/>
              <w:autoSpaceDE w:val="0"/>
              <w:spacing w:before="60"/>
              <w:jc w:val="both"/>
              <w:rPr>
                <w:rFonts w:ascii="Aptos Display" w:hAnsi="Aptos Display"/>
                <w:sz w:val="18"/>
                <w:szCs w:val="18"/>
              </w:rPr>
            </w:pPr>
            <w:r w:rsidRPr="005639B8">
              <w:rPr>
                <w:rFonts w:ascii="Aptos Display" w:hAnsi="Aptos Display"/>
                <w:sz w:val="18"/>
                <w:szCs w:val="18"/>
              </w:rPr>
              <w:t>58÷62 (5)</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2AAE330A" w14:textId="77777777" w:rsidR="005639B8" w:rsidRPr="005639B8" w:rsidRDefault="005639B8" w:rsidP="005639B8">
            <w:pPr>
              <w:pStyle w:val="Standard"/>
              <w:tabs>
                <w:tab w:val="left" w:pos="567"/>
              </w:tabs>
              <w:overflowPunct w:val="0"/>
              <w:autoSpaceDE w:val="0"/>
              <w:spacing w:before="60"/>
              <w:jc w:val="both"/>
              <w:rPr>
                <w:rFonts w:ascii="Aptos Display" w:hAnsi="Aptos Display"/>
                <w:sz w:val="18"/>
                <w:szCs w:val="18"/>
              </w:rPr>
            </w:pPr>
            <w:r w:rsidRPr="005639B8">
              <w:rPr>
                <w:rFonts w:ascii="Aptos Display" w:hAnsi="Aptos Display"/>
                <w:sz w:val="18"/>
                <w:szCs w:val="18"/>
              </w:rPr>
              <w:t>58÷62 (5)</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77E8D860"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58÷62 (5)</w:t>
            </w:r>
          </w:p>
        </w:tc>
      </w:tr>
      <w:tr w:rsidR="005639B8" w:rsidRPr="005639B8" w14:paraId="34EF96AB"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3AF874D6"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Czas wypływu dla 2 mm w 40°C</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68A70FCE"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12846</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6C163869"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s</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2B7F0789" w14:textId="77777777" w:rsidR="005639B8" w:rsidRPr="005639B8" w:rsidRDefault="005639B8" w:rsidP="005639B8">
            <w:pPr>
              <w:pStyle w:val="Standard"/>
              <w:tabs>
                <w:tab w:val="left" w:pos="567"/>
              </w:tabs>
              <w:overflowPunct w:val="0"/>
              <w:autoSpaceDE w:val="0"/>
              <w:spacing w:before="60"/>
              <w:jc w:val="both"/>
              <w:rPr>
                <w:rFonts w:ascii="Aptos Display" w:hAnsi="Aptos Display"/>
                <w:sz w:val="18"/>
                <w:szCs w:val="18"/>
              </w:rPr>
            </w:pPr>
            <w:r w:rsidRPr="005639B8">
              <w:rPr>
                <w:rFonts w:ascii="Aptos Display" w:hAnsi="Aptos Display"/>
                <w:sz w:val="18"/>
                <w:szCs w:val="18"/>
              </w:rPr>
              <w:t>15÷45 (3)</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4350E21E" w14:textId="77777777" w:rsidR="005639B8" w:rsidRPr="005639B8" w:rsidRDefault="005639B8" w:rsidP="005639B8">
            <w:pPr>
              <w:pStyle w:val="Standard"/>
              <w:tabs>
                <w:tab w:val="left" w:pos="567"/>
              </w:tabs>
              <w:overflowPunct w:val="0"/>
              <w:autoSpaceDE w:val="0"/>
              <w:spacing w:before="60"/>
              <w:jc w:val="both"/>
              <w:rPr>
                <w:rFonts w:ascii="Aptos Display" w:hAnsi="Aptos Display"/>
                <w:sz w:val="18"/>
                <w:szCs w:val="18"/>
              </w:rPr>
            </w:pPr>
            <w:r w:rsidRPr="005639B8">
              <w:rPr>
                <w:rFonts w:ascii="Aptos Display" w:hAnsi="Aptos Display"/>
                <w:sz w:val="18"/>
                <w:szCs w:val="18"/>
              </w:rPr>
              <w:t>15÷45 (3)</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10FF8074" w14:textId="77777777" w:rsidR="005639B8" w:rsidRPr="005639B8" w:rsidRDefault="005639B8" w:rsidP="005639B8">
            <w:pPr>
              <w:pStyle w:val="Standard"/>
              <w:tabs>
                <w:tab w:val="left" w:pos="567"/>
              </w:tabs>
              <w:overflowPunct w:val="0"/>
              <w:autoSpaceDE w:val="0"/>
              <w:spacing w:before="60"/>
              <w:jc w:val="both"/>
              <w:rPr>
                <w:rFonts w:ascii="Aptos Display" w:hAnsi="Aptos Display"/>
                <w:sz w:val="18"/>
                <w:szCs w:val="18"/>
              </w:rPr>
            </w:pPr>
            <w:r w:rsidRPr="005639B8">
              <w:rPr>
                <w:rFonts w:ascii="Aptos Display" w:hAnsi="Aptos Display"/>
                <w:sz w:val="18"/>
                <w:szCs w:val="18"/>
              </w:rPr>
              <w:t>15÷45 (3)</w:t>
            </w:r>
          </w:p>
        </w:tc>
      </w:tr>
      <w:tr w:rsidR="005639B8" w:rsidRPr="005639B8" w14:paraId="46E7F40D"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6673DE42"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Pozostałość na sicie 0,5 mm</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06227667"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1429</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7324FA86"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%(m/m)</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6CABCDDB"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&lt; 0,2 (3)</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1605290C"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&lt; 0,2 (3)</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5F0466C8"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&lt; 0,2 (3)</w:t>
            </w:r>
          </w:p>
        </w:tc>
      </w:tr>
      <w:tr w:rsidR="005639B8" w:rsidRPr="005639B8" w14:paraId="56B815E7"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4B8A780E"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Pozostałość na sicie 0,5 mm po 7 dniach magazynowania</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1A2C890E"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 xml:space="preserve"> PN-EN 1429</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39929B01"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%(m/m)</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485142B0"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TBR (1)</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70784528"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TBR (1)</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51020CF6"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TBR (1)</w:t>
            </w:r>
          </w:p>
        </w:tc>
      </w:tr>
      <w:tr w:rsidR="005639B8" w:rsidRPr="005639B8" w14:paraId="714C4480"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6F2D2544"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Sedymentacja po 7 dniach</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31FBA68D"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12847</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1E314B03"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%(m/m)</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6417791F"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TBR (1)</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738E7B97"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TBR (1)</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3C284E2F"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TBR (1)</w:t>
            </w:r>
          </w:p>
        </w:tc>
      </w:tr>
      <w:tr w:rsidR="005639B8" w:rsidRPr="005639B8" w14:paraId="330234A6"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15ECE421"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Adhezja</w:t>
            </w:r>
            <w:r w:rsidRPr="005639B8">
              <w:rPr>
                <w:rFonts w:ascii="Aptos Display" w:hAnsi="Aptos Display"/>
                <w:sz w:val="18"/>
                <w:szCs w:val="18"/>
                <w:vertAlign w:val="superscript"/>
              </w:rPr>
              <w:t>3)</w:t>
            </w:r>
            <w:r w:rsidRPr="005639B8">
              <w:rPr>
                <w:rFonts w:ascii="Aptos Display" w:hAnsi="Aptos Display"/>
                <w:sz w:val="18"/>
                <w:szCs w:val="18"/>
              </w:rPr>
              <w:t xml:space="preserve"> – pokrycie powierzchni</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3BF882C1"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załącznik NA 2.2</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47BD0BDE"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3A7D10C0"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 75</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6AF86C11"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 75</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5756AB9B"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 75</w:t>
            </w:r>
          </w:p>
        </w:tc>
      </w:tr>
      <w:tr w:rsidR="005639B8" w:rsidRPr="005639B8" w14:paraId="43C1735B"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76AA87E3" w14:textId="77777777" w:rsidR="005639B8" w:rsidRPr="005639B8" w:rsidRDefault="005639B8" w:rsidP="005639B8">
            <w:pPr>
              <w:pStyle w:val="Standard"/>
              <w:tabs>
                <w:tab w:val="left" w:pos="567"/>
              </w:tabs>
              <w:spacing w:before="60"/>
              <w:jc w:val="both"/>
              <w:rPr>
                <w:rFonts w:ascii="Aptos Display" w:hAnsi="Aptos Display"/>
                <w:sz w:val="18"/>
                <w:szCs w:val="18"/>
              </w:rPr>
            </w:pPr>
            <w:proofErr w:type="spellStart"/>
            <w:r w:rsidRPr="005639B8">
              <w:rPr>
                <w:rFonts w:ascii="Aptos Display" w:hAnsi="Aptos Display"/>
                <w:sz w:val="18"/>
                <w:szCs w:val="18"/>
              </w:rPr>
              <w:t>pN</w:t>
            </w:r>
            <w:proofErr w:type="spellEnd"/>
            <w:r w:rsidRPr="005639B8">
              <w:rPr>
                <w:rFonts w:ascii="Aptos Display" w:hAnsi="Aptos Display"/>
                <w:sz w:val="18"/>
                <w:szCs w:val="18"/>
              </w:rPr>
              <w:t xml:space="preserve"> emulsji</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072C0987"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12850</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3F762F79" w14:textId="77777777" w:rsidR="005639B8" w:rsidRPr="005639B8" w:rsidRDefault="005639B8" w:rsidP="005639B8">
            <w:pPr>
              <w:pStyle w:val="Standard"/>
              <w:tabs>
                <w:tab w:val="left" w:pos="567"/>
              </w:tabs>
              <w:snapToGrid w:val="0"/>
              <w:jc w:val="both"/>
              <w:rPr>
                <w:rFonts w:ascii="Aptos Display" w:hAnsi="Aptos Display"/>
                <w:sz w:val="18"/>
                <w:szCs w:val="18"/>
              </w:rPr>
            </w:pP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34080DF9"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NPD (0)</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340CDB34"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NPD (0)</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6C423A3F"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 3,5</w:t>
            </w:r>
          </w:p>
        </w:tc>
      </w:tr>
      <w:tr w:rsidR="005639B8" w:rsidRPr="005639B8" w14:paraId="31F577C4" w14:textId="77777777" w:rsidTr="000F0899">
        <w:trPr>
          <w:cantSplit/>
          <w:jc w:val="center"/>
        </w:trPr>
        <w:tc>
          <w:tcPr>
            <w:tcW w:w="9485" w:type="dxa"/>
            <w:gridSpan w:val="6"/>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6F733642"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Wymagania dotyczące asfaltu odzyskanego z kationowej emulsji przez odparowanie zgodnie z PN-EN 13074</w:t>
            </w:r>
          </w:p>
        </w:tc>
      </w:tr>
      <w:tr w:rsidR="005639B8" w:rsidRPr="005639B8" w14:paraId="6D097911"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3100625C"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Penetracja w 25°C</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76CA3A30"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1426</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47272A50"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0,1 mm</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448F2809"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&lt; 100 (3)</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42FFCD77"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&lt; 100 (3)</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6A7A3328"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&lt; 100 (3)</w:t>
            </w:r>
          </w:p>
        </w:tc>
      </w:tr>
      <w:tr w:rsidR="005639B8" w:rsidRPr="005639B8" w14:paraId="710A44BA"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1F7684D4"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Temperatura mięknienia</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20D2720A"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1427</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446DA5E0" w14:textId="77777777" w:rsidR="005639B8" w:rsidRPr="005639B8" w:rsidRDefault="005639B8" w:rsidP="005639B8">
            <w:pPr>
              <w:pStyle w:val="Standard"/>
              <w:tabs>
                <w:tab w:val="left" w:pos="567"/>
              </w:tabs>
              <w:jc w:val="both"/>
              <w:rPr>
                <w:rFonts w:ascii="Aptos Display" w:hAnsi="Aptos Display"/>
                <w:sz w:val="18"/>
                <w:szCs w:val="18"/>
                <w:lang w:val="de-DE"/>
              </w:rPr>
            </w:pPr>
            <w:r w:rsidRPr="005639B8">
              <w:rPr>
                <w:rFonts w:ascii="Aptos Display" w:hAnsi="Aptos Display"/>
                <w:sz w:val="18"/>
                <w:szCs w:val="18"/>
                <w:lang w:val="de-DE"/>
              </w:rPr>
              <w:t>ºC</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3D815DB7"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&gt; 39 (5)</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26F4F911"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&gt; 43 (4)</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1F03D4DF"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&gt; 39 (5)</w:t>
            </w:r>
          </w:p>
        </w:tc>
      </w:tr>
      <w:tr w:rsidR="005639B8" w:rsidRPr="005639B8" w14:paraId="4B4B896D" w14:textId="77777777" w:rsidTr="000F0899">
        <w:trPr>
          <w:cantSplit/>
          <w:jc w:val="center"/>
        </w:trPr>
        <w:tc>
          <w:tcPr>
            <w:tcW w:w="2360" w:type="dxa"/>
            <w:tcBorders>
              <w:top w:val="single" w:sz="6" w:space="0" w:color="000000"/>
              <w:left w:val="single" w:sz="6" w:space="0" w:color="000000"/>
              <w:bottom w:val="single" w:sz="6" w:space="0" w:color="000000"/>
            </w:tcBorders>
            <w:tcMar>
              <w:top w:w="28" w:type="dxa"/>
              <w:left w:w="57" w:type="dxa"/>
              <w:bottom w:w="28" w:type="dxa"/>
              <w:right w:w="57" w:type="dxa"/>
            </w:tcMar>
          </w:tcPr>
          <w:p w14:paraId="31FB8BFB"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Penetracja w 25°C</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1A35F221"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PN-EN 13998</w:t>
            </w:r>
          </w:p>
        </w:tc>
        <w:tc>
          <w:tcPr>
            <w:tcW w:w="900" w:type="dxa"/>
            <w:tcBorders>
              <w:top w:val="single" w:sz="6" w:space="0" w:color="000000"/>
              <w:left w:val="single" w:sz="6" w:space="0" w:color="000000"/>
              <w:bottom w:val="single" w:sz="6" w:space="0" w:color="000000"/>
            </w:tcBorders>
            <w:tcMar>
              <w:top w:w="28" w:type="dxa"/>
              <w:left w:w="57" w:type="dxa"/>
              <w:bottom w:w="28" w:type="dxa"/>
              <w:right w:w="57" w:type="dxa"/>
            </w:tcMar>
          </w:tcPr>
          <w:p w14:paraId="22969C94"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w:t>
            </w:r>
          </w:p>
        </w:tc>
        <w:tc>
          <w:tcPr>
            <w:tcW w:w="1620" w:type="dxa"/>
            <w:tcBorders>
              <w:top w:val="single" w:sz="6" w:space="0" w:color="000000"/>
              <w:left w:val="single" w:sz="6" w:space="0" w:color="000000"/>
              <w:bottom w:val="single" w:sz="6" w:space="0" w:color="000000"/>
            </w:tcBorders>
            <w:tcMar>
              <w:top w:w="28" w:type="dxa"/>
              <w:left w:w="57" w:type="dxa"/>
              <w:bottom w:w="28" w:type="dxa"/>
              <w:right w:w="57" w:type="dxa"/>
            </w:tcMar>
          </w:tcPr>
          <w:p w14:paraId="0701A346"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NPD (0)</w:t>
            </w:r>
          </w:p>
        </w:tc>
        <w:tc>
          <w:tcPr>
            <w:tcW w:w="1530" w:type="dxa"/>
            <w:tcBorders>
              <w:top w:val="single" w:sz="6" w:space="0" w:color="000000"/>
              <w:left w:val="single" w:sz="6" w:space="0" w:color="000000"/>
              <w:bottom w:val="single" w:sz="6" w:space="0" w:color="000000"/>
            </w:tcBorders>
            <w:tcMar>
              <w:top w:w="28" w:type="dxa"/>
              <w:left w:w="57" w:type="dxa"/>
              <w:bottom w:w="28" w:type="dxa"/>
              <w:right w:w="57" w:type="dxa"/>
            </w:tcMar>
          </w:tcPr>
          <w:p w14:paraId="64E16F2C"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lang w:val="de-DE"/>
              </w:rPr>
              <w:t> 50 (4)</w:t>
            </w:r>
          </w:p>
        </w:tc>
        <w:tc>
          <w:tcPr>
            <w:tcW w:w="1455"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3772D469" w14:textId="77777777" w:rsidR="005639B8" w:rsidRPr="005639B8" w:rsidRDefault="005639B8" w:rsidP="005639B8">
            <w:pPr>
              <w:pStyle w:val="Standard"/>
              <w:tabs>
                <w:tab w:val="left" w:pos="567"/>
              </w:tabs>
              <w:spacing w:before="60"/>
              <w:jc w:val="both"/>
              <w:rPr>
                <w:rFonts w:ascii="Aptos Display" w:hAnsi="Aptos Display"/>
                <w:sz w:val="18"/>
                <w:szCs w:val="18"/>
                <w:lang w:val="de-DE"/>
              </w:rPr>
            </w:pPr>
            <w:r w:rsidRPr="005639B8">
              <w:rPr>
                <w:rFonts w:ascii="Aptos Display" w:hAnsi="Aptos Display"/>
                <w:sz w:val="18"/>
                <w:szCs w:val="18"/>
                <w:lang w:val="de-DE"/>
              </w:rPr>
              <w:t>NPD (0)</w:t>
            </w:r>
          </w:p>
        </w:tc>
      </w:tr>
      <w:tr w:rsidR="005639B8" w:rsidRPr="005639B8" w14:paraId="0253EFB9" w14:textId="77777777" w:rsidTr="000F0899">
        <w:trPr>
          <w:cantSplit/>
          <w:trHeight w:val="238"/>
          <w:jc w:val="center"/>
        </w:trPr>
        <w:tc>
          <w:tcPr>
            <w:tcW w:w="9485" w:type="dxa"/>
            <w:gridSpan w:val="6"/>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tcPr>
          <w:p w14:paraId="2BE3E6CD"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lastRenderedPageBreak/>
              <w:t>Wymagania dotyczące emulsji asfaltowych do ZM nie dotyczą emulsji poddanych na budowie rozcieńczeniu wodą przed wbudowaniem.</w:t>
            </w:r>
          </w:p>
          <w:p w14:paraId="611A15E5"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 xml:space="preserve">Badanie na wypełniaczu mineralnym </w:t>
            </w:r>
            <w:proofErr w:type="spellStart"/>
            <w:r w:rsidRPr="005639B8">
              <w:rPr>
                <w:rFonts w:ascii="Aptos Display" w:hAnsi="Aptos Display"/>
                <w:sz w:val="18"/>
                <w:szCs w:val="18"/>
              </w:rPr>
              <w:t>Sikaisol</w:t>
            </w:r>
            <w:proofErr w:type="spellEnd"/>
          </w:p>
          <w:p w14:paraId="40C6E0B6"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Badanie na kruszywie bazaltowym.</w:t>
            </w:r>
          </w:p>
          <w:p w14:paraId="28A77CE3"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klasa TBR „do zadeklarowania” oznacza, że Producent może w trybie dowolnym dostarczyć informację o tej właściwości wraz z wyrobem</w:t>
            </w:r>
          </w:p>
          <w:p w14:paraId="3C6ED0FB"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klasa NPD „właściwość użytkowa nie określana” oznacza, że Producent nie jest zobowiązany do określenia ani deklarowania tej właściwości.</w:t>
            </w:r>
          </w:p>
        </w:tc>
      </w:tr>
    </w:tbl>
    <w:p w14:paraId="69204B12"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16ECDA9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Wskaźnik </w:t>
      </w:r>
      <w:proofErr w:type="spellStart"/>
      <w:r w:rsidRPr="005639B8">
        <w:rPr>
          <w:rFonts w:ascii="Aptos Display" w:hAnsi="Aptos Display"/>
          <w:sz w:val="18"/>
          <w:szCs w:val="18"/>
        </w:rPr>
        <w:t>pH</w:t>
      </w:r>
      <w:proofErr w:type="spellEnd"/>
      <w:r w:rsidRPr="005639B8">
        <w:rPr>
          <w:rFonts w:ascii="Aptos Display" w:hAnsi="Aptos Display"/>
          <w:sz w:val="18"/>
          <w:szCs w:val="18"/>
        </w:rPr>
        <w:t xml:space="preserve"> emulsji kationowej do skrapiania podłoża zawierającego cement jako spoiwo powinien być większy od 4,0.</w:t>
      </w:r>
    </w:p>
    <w:p w14:paraId="178AB6AA"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Wymagania dla materiałów</w:t>
      </w:r>
    </w:p>
    <w:p w14:paraId="3F8E4923"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Zgodnie z Ustawą o wyrobach budowlanych z dn. 16.04.2004 r., Dz. U. Nr 92 poz. 881, 2004 r., wyrób budowlany (materiał) dopuszczony jest do stosowania przy wykonywaniu robót budowlanych, jeżeli jest:</w:t>
      </w:r>
    </w:p>
    <w:p w14:paraId="50989217" w14:textId="77777777" w:rsidR="005639B8" w:rsidRPr="005639B8" w:rsidRDefault="005639B8" w:rsidP="005639B8">
      <w:pPr>
        <w:pStyle w:val="Standard"/>
        <w:numPr>
          <w:ilvl w:val="0"/>
          <w:numId w:val="59"/>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oznakowany CE lub znakiem budowlanym B,</w:t>
      </w:r>
    </w:p>
    <w:p w14:paraId="0829560C" w14:textId="77777777" w:rsidR="005639B8" w:rsidRPr="005639B8" w:rsidRDefault="005639B8" w:rsidP="005639B8">
      <w:pPr>
        <w:pStyle w:val="Standard"/>
        <w:numPr>
          <w:ilvl w:val="0"/>
          <w:numId w:val="59"/>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umieszczony w określonym przez Komisję Europejską wykazie wyrobów mających niewielkie znaczenie dla zdrowia i bezpieczeństwa.</w:t>
      </w:r>
    </w:p>
    <w:p w14:paraId="34D6CE1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Producent wyrobu budowlanego winien dołączyć do wyrobu krajową deklarację zgodności. Sposób deklarowania oraz oceny zgodności wyrobu budowlanego określa Rozporządzenie Ministra Infrastruktury z dnia 11 sierpnia 2004 r. w sprawie sposobu deklarowania zgodności wyrobów budowlanych oraz sposobu ich znakowania znakiem budowlanym (Dz.U. Nr 198, poz. 2041 z 2004 r.). Skropienie lepiszczem, w celu zapewnienia związania układanej warstwy asfaltowej z podłożem (niżej leżącą warstwą), może być wykonane emulsją asfaltową według PN-EN 13808, albo innym materiałem według norm lub aprobat technicznych. Rodzaj lepiszcza powinien być dostosowany do rodzaju materiału w podłożu. Emulsję do konkretnych zastosowań należy dobrać na podstawie ww. normy.</w:t>
      </w:r>
    </w:p>
    <w:p w14:paraId="2FAD505A"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Zużycie lepiszczy do skropienia</w:t>
      </w:r>
    </w:p>
    <w:p w14:paraId="26F05A2C"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Zużycie lepiszczy do skropienia warstw konstrukcyjnych nawierzchni podano w Tablicy 2.</w:t>
      </w:r>
    </w:p>
    <w:p w14:paraId="6DC01CC7"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7E1CF37A"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Tablica 2. Zalecane ilości pozostałego lepiszcza do skropienia podłoża pod warstwę asfaltową</w:t>
      </w:r>
    </w:p>
    <w:tbl>
      <w:tblPr>
        <w:tblW w:w="8355" w:type="dxa"/>
        <w:jc w:val="center"/>
        <w:tblLayout w:type="fixed"/>
        <w:tblCellMar>
          <w:left w:w="10" w:type="dxa"/>
          <w:right w:w="10" w:type="dxa"/>
        </w:tblCellMar>
        <w:tblLook w:val="0000" w:firstRow="0" w:lastRow="0" w:firstColumn="0" w:lastColumn="0" w:noHBand="0" w:noVBand="0"/>
      </w:tblPr>
      <w:tblGrid>
        <w:gridCol w:w="600"/>
        <w:gridCol w:w="4680"/>
        <w:gridCol w:w="3075"/>
      </w:tblGrid>
      <w:tr w:rsidR="005639B8" w:rsidRPr="005639B8" w14:paraId="57AFEC07" w14:textId="77777777" w:rsidTr="000F0899">
        <w:trPr>
          <w:jc w:val="center"/>
        </w:trPr>
        <w:tc>
          <w:tcPr>
            <w:tcW w:w="600" w:type="dxa"/>
            <w:tcBorders>
              <w:top w:val="single" w:sz="6" w:space="0" w:color="000000"/>
              <w:left w:val="single" w:sz="6" w:space="0" w:color="000000"/>
              <w:bottom w:val="double" w:sz="6" w:space="0" w:color="000000"/>
            </w:tcBorders>
            <w:tcMar>
              <w:top w:w="0" w:type="dxa"/>
              <w:left w:w="70" w:type="dxa"/>
              <w:bottom w:w="0" w:type="dxa"/>
              <w:right w:w="70" w:type="dxa"/>
            </w:tcMar>
          </w:tcPr>
          <w:p w14:paraId="37B592D2" w14:textId="77777777" w:rsidR="005639B8" w:rsidRPr="005639B8" w:rsidRDefault="005639B8" w:rsidP="005639B8">
            <w:pPr>
              <w:pStyle w:val="Standard"/>
              <w:tabs>
                <w:tab w:val="left" w:pos="567"/>
              </w:tabs>
              <w:spacing w:before="60" w:after="60"/>
              <w:jc w:val="both"/>
              <w:rPr>
                <w:rFonts w:ascii="Aptos Display" w:hAnsi="Aptos Display"/>
                <w:sz w:val="18"/>
                <w:szCs w:val="18"/>
              </w:rPr>
            </w:pPr>
            <w:r w:rsidRPr="005639B8">
              <w:rPr>
                <w:rFonts w:ascii="Aptos Display" w:hAnsi="Aptos Display"/>
                <w:sz w:val="18"/>
                <w:szCs w:val="18"/>
              </w:rPr>
              <w:t>Lp.</w:t>
            </w:r>
          </w:p>
        </w:tc>
        <w:tc>
          <w:tcPr>
            <w:tcW w:w="4680" w:type="dxa"/>
            <w:tcBorders>
              <w:top w:val="single" w:sz="6" w:space="0" w:color="000000"/>
              <w:left w:val="single" w:sz="6" w:space="0" w:color="000000"/>
              <w:bottom w:val="double" w:sz="6" w:space="0" w:color="000000"/>
            </w:tcBorders>
            <w:tcMar>
              <w:top w:w="0" w:type="dxa"/>
              <w:left w:w="70" w:type="dxa"/>
              <w:bottom w:w="0" w:type="dxa"/>
              <w:right w:w="70" w:type="dxa"/>
            </w:tcMar>
          </w:tcPr>
          <w:p w14:paraId="4BCE53BC" w14:textId="77777777" w:rsidR="005639B8" w:rsidRPr="005639B8" w:rsidRDefault="005639B8" w:rsidP="005639B8">
            <w:pPr>
              <w:pStyle w:val="Standard"/>
              <w:tabs>
                <w:tab w:val="left" w:pos="567"/>
              </w:tabs>
              <w:spacing w:before="60" w:after="60"/>
              <w:jc w:val="both"/>
              <w:rPr>
                <w:rFonts w:ascii="Aptos Display" w:hAnsi="Aptos Display"/>
                <w:sz w:val="18"/>
                <w:szCs w:val="18"/>
              </w:rPr>
            </w:pPr>
            <w:r w:rsidRPr="005639B8">
              <w:rPr>
                <w:rFonts w:ascii="Aptos Display" w:hAnsi="Aptos Display"/>
                <w:sz w:val="18"/>
                <w:szCs w:val="18"/>
              </w:rPr>
              <w:t>Rodzaj warstwy</w:t>
            </w:r>
          </w:p>
        </w:tc>
        <w:tc>
          <w:tcPr>
            <w:tcW w:w="3075" w:type="dxa"/>
            <w:tcBorders>
              <w:top w:val="single" w:sz="6" w:space="0" w:color="000000"/>
              <w:left w:val="single" w:sz="6" w:space="0" w:color="000000"/>
              <w:bottom w:val="double" w:sz="6" w:space="0" w:color="000000"/>
              <w:right w:val="single" w:sz="6" w:space="0" w:color="000000"/>
            </w:tcBorders>
            <w:tcMar>
              <w:top w:w="0" w:type="dxa"/>
              <w:left w:w="70" w:type="dxa"/>
              <w:bottom w:w="0" w:type="dxa"/>
              <w:right w:w="70" w:type="dxa"/>
            </w:tcMar>
            <w:vAlign w:val="center"/>
          </w:tcPr>
          <w:p w14:paraId="456F3E25" w14:textId="77777777" w:rsidR="005639B8" w:rsidRPr="005639B8" w:rsidRDefault="005639B8" w:rsidP="005639B8">
            <w:pPr>
              <w:pStyle w:val="Standard"/>
              <w:keepNext/>
              <w:tabs>
                <w:tab w:val="left" w:pos="567"/>
              </w:tabs>
              <w:jc w:val="both"/>
              <w:rPr>
                <w:rFonts w:ascii="Aptos Display" w:hAnsi="Aptos Display"/>
                <w:sz w:val="18"/>
                <w:szCs w:val="18"/>
              </w:rPr>
            </w:pPr>
            <w:r w:rsidRPr="005639B8">
              <w:rPr>
                <w:rFonts w:ascii="Aptos Display" w:hAnsi="Aptos Display"/>
                <w:sz w:val="18"/>
                <w:szCs w:val="18"/>
              </w:rPr>
              <w:t>Ilość pozostałego lepiszcza [kg/m²]</w:t>
            </w:r>
          </w:p>
        </w:tc>
      </w:tr>
      <w:tr w:rsidR="005639B8" w:rsidRPr="005639B8" w14:paraId="166303D3" w14:textId="77777777" w:rsidTr="000F0899">
        <w:trPr>
          <w:jc w:val="center"/>
        </w:trPr>
        <w:tc>
          <w:tcPr>
            <w:tcW w:w="600" w:type="dxa"/>
            <w:tcBorders>
              <w:left w:val="single" w:sz="6" w:space="0" w:color="000000"/>
              <w:bottom w:val="single" w:sz="6" w:space="0" w:color="000000"/>
            </w:tcBorders>
            <w:tcMar>
              <w:top w:w="0" w:type="dxa"/>
              <w:left w:w="70" w:type="dxa"/>
              <w:bottom w:w="0" w:type="dxa"/>
              <w:right w:w="70" w:type="dxa"/>
            </w:tcMar>
          </w:tcPr>
          <w:p w14:paraId="12FEB98A"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1</w:t>
            </w:r>
          </w:p>
          <w:p w14:paraId="51209350"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2</w:t>
            </w:r>
          </w:p>
          <w:p w14:paraId="69C03608"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3</w:t>
            </w:r>
          </w:p>
        </w:tc>
        <w:tc>
          <w:tcPr>
            <w:tcW w:w="4680" w:type="dxa"/>
            <w:tcBorders>
              <w:left w:val="single" w:sz="6" w:space="0" w:color="000000"/>
              <w:bottom w:val="single" w:sz="6" w:space="0" w:color="000000"/>
            </w:tcBorders>
            <w:tcMar>
              <w:top w:w="0" w:type="dxa"/>
              <w:left w:w="70" w:type="dxa"/>
              <w:bottom w:w="0" w:type="dxa"/>
              <w:right w:w="70" w:type="dxa"/>
            </w:tcMar>
          </w:tcPr>
          <w:p w14:paraId="0DE5C62C" w14:textId="77777777" w:rsidR="005639B8" w:rsidRPr="005639B8" w:rsidRDefault="005639B8" w:rsidP="005639B8">
            <w:pPr>
              <w:pStyle w:val="Tekstkomentarza2"/>
              <w:widowControl/>
              <w:tabs>
                <w:tab w:val="left" w:pos="425"/>
                <w:tab w:val="left" w:pos="567"/>
                <w:tab w:val="left" w:pos="851"/>
                <w:tab w:val="left" w:pos="1276"/>
                <w:tab w:val="left" w:pos="1701"/>
                <w:tab w:val="left" w:pos="2126"/>
                <w:tab w:val="left" w:pos="2552"/>
                <w:tab w:val="left" w:pos="3402"/>
                <w:tab w:val="left" w:pos="6804"/>
                <w:tab w:val="left" w:pos="7655"/>
                <w:tab w:val="left" w:pos="8505"/>
              </w:tabs>
              <w:spacing w:after="60"/>
              <w:jc w:val="both"/>
              <w:rPr>
                <w:rFonts w:ascii="Aptos Display" w:hAnsi="Aptos Display"/>
                <w:sz w:val="18"/>
                <w:szCs w:val="18"/>
              </w:rPr>
            </w:pPr>
            <w:r w:rsidRPr="005639B8">
              <w:rPr>
                <w:rFonts w:ascii="Aptos Display" w:hAnsi="Aptos Display"/>
                <w:sz w:val="18"/>
                <w:szCs w:val="18"/>
              </w:rPr>
              <w:t>Podbudowa z kruszywa stabilizowanego mechanicznie</w:t>
            </w:r>
          </w:p>
        </w:tc>
        <w:tc>
          <w:tcPr>
            <w:tcW w:w="3075" w:type="dxa"/>
            <w:tcBorders>
              <w:left w:val="single" w:sz="6" w:space="0" w:color="000000"/>
              <w:bottom w:val="single" w:sz="6" w:space="0" w:color="000000"/>
              <w:right w:val="single" w:sz="6" w:space="0" w:color="000000"/>
            </w:tcBorders>
            <w:tcMar>
              <w:top w:w="0" w:type="dxa"/>
              <w:left w:w="70" w:type="dxa"/>
              <w:bottom w:w="0" w:type="dxa"/>
              <w:right w:w="70" w:type="dxa"/>
            </w:tcMar>
            <w:vAlign w:val="center"/>
          </w:tcPr>
          <w:p w14:paraId="42F043BA" w14:textId="77777777" w:rsidR="005639B8" w:rsidRPr="005639B8" w:rsidRDefault="005639B8" w:rsidP="005639B8">
            <w:pPr>
              <w:pStyle w:val="Standard"/>
              <w:keepNext/>
              <w:tabs>
                <w:tab w:val="left" w:pos="567"/>
              </w:tabs>
              <w:jc w:val="both"/>
              <w:rPr>
                <w:rFonts w:ascii="Aptos Display" w:hAnsi="Aptos Display"/>
                <w:sz w:val="18"/>
                <w:szCs w:val="18"/>
              </w:rPr>
            </w:pPr>
            <w:r w:rsidRPr="005639B8">
              <w:rPr>
                <w:rFonts w:ascii="Aptos Display" w:hAnsi="Aptos Display"/>
                <w:sz w:val="18"/>
                <w:szCs w:val="18"/>
              </w:rPr>
              <w:t>0,7</w:t>
            </w:r>
          </w:p>
        </w:tc>
      </w:tr>
      <w:tr w:rsidR="005639B8" w:rsidRPr="005639B8" w14:paraId="37597285" w14:textId="77777777" w:rsidTr="000F0899">
        <w:trPr>
          <w:jc w:val="center"/>
        </w:trPr>
        <w:tc>
          <w:tcPr>
            <w:tcW w:w="600" w:type="dxa"/>
            <w:tcBorders>
              <w:left w:val="single" w:sz="6" w:space="0" w:color="000000"/>
              <w:bottom w:val="single" w:sz="6" w:space="0" w:color="000000"/>
            </w:tcBorders>
            <w:tcMar>
              <w:top w:w="0" w:type="dxa"/>
              <w:left w:w="70" w:type="dxa"/>
              <w:bottom w:w="0" w:type="dxa"/>
              <w:right w:w="70" w:type="dxa"/>
            </w:tcMar>
          </w:tcPr>
          <w:p w14:paraId="6F96738A"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2</w:t>
            </w:r>
          </w:p>
          <w:p w14:paraId="79DB76AE"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2</w:t>
            </w:r>
          </w:p>
          <w:p w14:paraId="7364F3A9"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3</w:t>
            </w:r>
          </w:p>
        </w:tc>
        <w:tc>
          <w:tcPr>
            <w:tcW w:w="4680" w:type="dxa"/>
            <w:tcBorders>
              <w:left w:val="single" w:sz="6" w:space="0" w:color="000000"/>
              <w:bottom w:val="single" w:sz="6" w:space="0" w:color="000000"/>
            </w:tcBorders>
            <w:tcMar>
              <w:top w:w="0" w:type="dxa"/>
              <w:left w:w="70" w:type="dxa"/>
              <w:bottom w:w="0" w:type="dxa"/>
              <w:right w:w="70" w:type="dxa"/>
            </w:tcMar>
          </w:tcPr>
          <w:p w14:paraId="02E47D61" w14:textId="77777777" w:rsidR="005639B8" w:rsidRPr="005639B8" w:rsidRDefault="005639B8" w:rsidP="005639B8">
            <w:pPr>
              <w:pStyle w:val="Standard"/>
              <w:tabs>
                <w:tab w:val="left" w:pos="567"/>
              </w:tabs>
              <w:spacing w:after="60"/>
              <w:jc w:val="both"/>
              <w:rPr>
                <w:rFonts w:ascii="Aptos Display" w:hAnsi="Aptos Display"/>
                <w:sz w:val="18"/>
                <w:szCs w:val="18"/>
              </w:rPr>
            </w:pPr>
            <w:r w:rsidRPr="005639B8">
              <w:rPr>
                <w:rFonts w:ascii="Aptos Display" w:hAnsi="Aptos Display"/>
                <w:sz w:val="18"/>
                <w:szCs w:val="18"/>
              </w:rPr>
              <w:t>Istniejąca nawierzchnia bitumiczna</w:t>
            </w:r>
          </w:p>
        </w:tc>
        <w:tc>
          <w:tcPr>
            <w:tcW w:w="3075" w:type="dxa"/>
            <w:tcBorders>
              <w:left w:val="single" w:sz="6" w:space="0" w:color="000000"/>
              <w:bottom w:val="single" w:sz="6" w:space="0" w:color="000000"/>
              <w:right w:val="single" w:sz="6" w:space="0" w:color="000000"/>
            </w:tcBorders>
            <w:tcMar>
              <w:top w:w="0" w:type="dxa"/>
              <w:left w:w="70" w:type="dxa"/>
              <w:bottom w:w="0" w:type="dxa"/>
              <w:right w:w="70" w:type="dxa"/>
            </w:tcMar>
            <w:vAlign w:val="center"/>
          </w:tcPr>
          <w:p w14:paraId="12AAA3C5"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0,5</w:t>
            </w:r>
          </w:p>
        </w:tc>
      </w:tr>
      <w:tr w:rsidR="005639B8" w:rsidRPr="005639B8" w14:paraId="6BEA3AE5" w14:textId="77777777" w:rsidTr="000F0899">
        <w:trPr>
          <w:jc w:val="center"/>
        </w:trPr>
        <w:tc>
          <w:tcPr>
            <w:tcW w:w="600" w:type="dxa"/>
            <w:tcBorders>
              <w:left w:val="single" w:sz="6" w:space="0" w:color="000000"/>
              <w:bottom w:val="single" w:sz="6" w:space="0" w:color="000000"/>
            </w:tcBorders>
            <w:tcMar>
              <w:top w:w="0" w:type="dxa"/>
              <w:left w:w="70" w:type="dxa"/>
              <w:bottom w:w="0" w:type="dxa"/>
              <w:right w:w="70" w:type="dxa"/>
            </w:tcMar>
          </w:tcPr>
          <w:p w14:paraId="7D8B1A66"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3</w:t>
            </w:r>
          </w:p>
          <w:p w14:paraId="5C80C333"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2</w:t>
            </w:r>
          </w:p>
          <w:p w14:paraId="52CD5704"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3</w:t>
            </w:r>
          </w:p>
        </w:tc>
        <w:tc>
          <w:tcPr>
            <w:tcW w:w="4680" w:type="dxa"/>
            <w:tcBorders>
              <w:left w:val="single" w:sz="6" w:space="0" w:color="000000"/>
              <w:bottom w:val="single" w:sz="6" w:space="0" w:color="000000"/>
            </w:tcBorders>
            <w:tcMar>
              <w:top w:w="0" w:type="dxa"/>
              <w:left w:w="70" w:type="dxa"/>
              <w:bottom w:w="0" w:type="dxa"/>
              <w:right w:w="70" w:type="dxa"/>
            </w:tcMar>
          </w:tcPr>
          <w:p w14:paraId="2A9005FA" w14:textId="77777777" w:rsidR="005639B8" w:rsidRPr="005639B8" w:rsidRDefault="005639B8" w:rsidP="005639B8">
            <w:pPr>
              <w:pStyle w:val="Standard"/>
              <w:tabs>
                <w:tab w:val="left" w:pos="567"/>
              </w:tabs>
              <w:spacing w:after="60"/>
              <w:jc w:val="both"/>
              <w:rPr>
                <w:rFonts w:ascii="Aptos Display" w:hAnsi="Aptos Display"/>
                <w:sz w:val="18"/>
                <w:szCs w:val="18"/>
              </w:rPr>
            </w:pPr>
            <w:r w:rsidRPr="005639B8">
              <w:rPr>
                <w:rFonts w:ascii="Aptos Display" w:hAnsi="Aptos Display"/>
                <w:sz w:val="18"/>
                <w:szCs w:val="18"/>
              </w:rPr>
              <w:t>Podbudowa z betonu asfaltowego</w:t>
            </w:r>
          </w:p>
        </w:tc>
        <w:tc>
          <w:tcPr>
            <w:tcW w:w="3075" w:type="dxa"/>
            <w:tcBorders>
              <w:left w:val="single" w:sz="6" w:space="0" w:color="000000"/>
              <w:bottom w:val="single" w:sz="6" w:space="0" w:color="000000"/>
              <w:right w:val="single" w:sz="6" w:space="0" w:color="000000"/>
            </w:tcBorders>
            <w:tcMar>
              <w:top w:w="0" w:type="dxa"/>
              <w:left w:w="70" w:type="dxa"/>
              <w:bottom w:w="0" w:type="dxa"/>
              <w:right w:w="70" w:type="dxa"/>
            </w:tcMar>
            <w:vAlign w:val="center"/>
          </w:tcPr>
          <w:p w14:paraId="72421345"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0,5</w:t>
            </w:r>
          </w:p>
        </w:tc>
      </w:tr>
      <w:tr w:rsidR="005639B8" w:rsidRPr="005639B8" w14:paraId="2F7896FF" w14:textId="77777777" w:rsidTr="000F0899">
        <w:trPr>
          <w:jc w:val="center"/>
        </w:trPr>
        <w:tc>
          <w:tcPr>
            <w:tcW w:w="600" w:type="dxa"/>
            <w:tcBorders>
              <w:left w:val="single" w:sz="6" w:space="0" w:color="000000"/>
              <w:bottom w:val="single" w:sz="6" w:space="0" w:color="000000"/>
            </w:tcBorders>
            <w:tcMar>
              <w:top w:w="0" w:type="dxa"/>
              <w:left w:w="70" w:type="dxa"/>
              <w:bottom w:w="0" w:type="dxa"/>
              <w:right w:w="70" w:type="dxa"/>
            </w:tcMar>
          </w:tcPr>
          <w:p w14:paraId="13E254B6" w14:textId="77777777" w:rsidR="005639B8" w:rsidRPr="005639B8" w:rsidRDefault="005639B8" w:rsidP="005639B8">
            <w:pPr>
              <w:pStyle w:val="Standard"/>
              <w:tabs>
                <w:tab w:val="left" w:pos="567"/>
              </w:tabs>
              <w:spacing w:before="60"/>
              <w:jc w:val="both"/>
              <w:rPr>
                <w:rFonts w:ascii="Aptos Display" w:hAnsi="Aptos Display"/>
                <w:sz w:val="18"/>
                <w:szCs w:val="18"/>
              </w:rPr>
            </w:pPr>
            <w:r w:rsidRPr="005639B8">
              <w:rPr>
                <w:rFonts w:ascii="Aptos Display" w:hAnsi="Aptos Display"/>
                <w:sz w:val="18"/>
                <w:szCs w:val="18"/>
              </w:rPr>
              <w:t>4</w:t>
            </w:r>
          </w:p>
          <w:p w14:paraId="6CD884C9"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2</w:t>
            </w:r>
          </w:p>
          <w:p w14:paraId="496AF57A" w14:textId="77777777" w:rsidR="005639B8" w:rsidRPr="005639B8" w:rsidRDefault="005639B8" w:rsidP="005639B8">
            <w:pPr>
              <w:pStyle w:val="Standard"/>
              <w:tabs>
                <w:tab w:val="left" w:pos="567"/>
              </w:tabs>
              <w:jc w:val="both"/>
              <w:rPr>
                <w:rFonts w:ascii="Aptos Display" w:hAnsi="Aptos Display"/>
                <w:vanish/>
                <w:sz w:val="18"/>
                <w:szCs w:val="18"/>
              </w:rPr>
            </w:pPr>
            <w:r w:rsidRPr="005639B8">
              <w:rPr>
                <w:rFonts w:ascii="Aptos Display" w:hAnsi="Aptos Display"/>
                <w:vanish/>
                <w:sz w:val="18"/>
                <w:szCs w:val="18"/>
              </w:rPr>
              <w:t>3</w:t>
            </w:r>
          </w:p>
        </w:tc>
        <w:tc>
          <w:tcPr>
            <w:tcW w:w="4680" w:type="dxa"/>
            <w:tcBorders>
              <w:left w:val="single" w:sz="6" w:space="0" w:color="000000"/>
              <w:bottom w:val="single" w:sz="6" w:space="0" w:color="000000"/>
            </w:tcBorders>
            <w:tcMar>
              <w:top w:w="0" w:type="dxa"/>
              <w:left w:w="70" w:type="dxa"/>
              <w:bottom w:w="0" w:type="dxa"/>
              <w:right w:w="70" w:type="dxa"/>
            </w:tcMar>
          </w:tcPr>
          <w:p w14:paraId="275816DF" w14:textId="77777777" w:rsidR="005639B8" w:rsidRPr="005639B8" w:rsidRDefault="005639B8" w:rsidP="005639B8">
            <w:pPr>
              <w:pStyle w:val="Standard"/>
              <w:tabs>
                <w:tab w:val="left" w:pos="567"/>
              </w:tabs>
              <w:spacing w:after="60"/>
              <w:jc w:val="both"/>
              <w:rPr>
                <w:rFonts w:ascii="Aptos Display" w:hAnsi="Aptos Display"/>
                <w:sz w:val="18"/>
                <w:szCs w:val="18"/>
              </w:rPr>
            </w:pPr>
            <w:r w:rsidRPr="005639B8">
              <w:rPr>
                <w:rFonts w:ascii="Aptos Display" w:hAnsi="Aptos Display"/>
                <w:sz w:val="18"/>
                <w:szCs w:val="18"/>
              </w:rPr>
              <w:t>Warstwa wiążąca i wyrównawcza z betonu asfaltowego</w:t>
            </w:r>
          </w:p>
        </w:tc>
        <w:tc>
          <w:tcPr>
            <w:tcW w:w="3075" w:type="dxa"/>
            <w:tcBorders>
              <w:left w:val="single" w:sz="6" w:space="0" w:color="000000"/>
              <w:bottom w:val="single" w:sz="6" w:space="0" w:color="000000"/>
              <w:right w:val="single" w:sz="6" w:space="0" w:color="000000"/>
            </w:tcBorders>
            <w:tcMar>
              <w:top w:w="0" w:type="dxa"/>
              <w:left w:w="70" w:type="dxa"/>
              <w:bottom w:w="0" w:type="dxa"/>
              <w:right w:w="70" w:type="dxa"/>
            </w:tcMar>
            <w:vAlign w:val="center"/>
          </w:tcPr>
          <w:p w14:paraId="797242C6" w14:textId="77777777" w:rsidR="005639B8" w:rsidRPr="005639B8" w:rsidRDefault="005639B8" w:rsidP="005639B8">
            <w:pPr>
              <w:pStyle w:val="Standard"/>
              <w:tabs>
                <w:tab w:val="left" w:pos="567"/>
              </w:tabs>
              <w:jc w:val="both"/>
              <w:rPr>
                <w:rFonts w:ascii="Aptos Display" w:hAnsi="Aptos Display"/>
                <w:sz w:val="18"/>
                <w:szCs w:val="18"/>
              </w:rPr>
            </w:pPr>
            <w:r w:rsidRPr="005639B8">
              <w:rPr>
                <w:rFonts w:ascii="Aptos Display" w:hAnsi="Aptos Display"/>
                <w:sz w:val="18"/>
                <w:szCs w:val="18"/>
              </w:rPr>
              <w:t>0,3</w:t>
            </w:r>
          </w:p>
        </w:tc>
      </w:tr>
    </w:tbl>
    <w:p w14:paraId="40459239"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48076987"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Składowanie lepiszczy</w:t>
      </w:r>
    </w:p>
    <w:p w14:paraId="5F682B32"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Warunki przechowywania nie mogą powodować utraty cech lepiszcza i obniżenia jego jakości. 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 Emulsję można magazynować w opakowaniach transportowych lub stacjonarnych zbiornikach pionowych z nalewaniem od dna. Nie należy stosować zbiornika walcowego leżącego, ze względu na tworzenie się na dużej powierzchni cieczy „kożucha” asfaltowego zatykającego później przewody. Przy przechowywaniu emulsji asfaltowej należy przestrzegać zasad ustalonych przez producenta.</w:t>
      </w:r>
    </w:p>
    <w:p w14:paraId="3A4DFE1F"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5D1AC6BF"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67478545"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SPRZĘT</w:t>
      </w:r>
    </w:p>
    <w:p w14:paraId="3DD099E2"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sprzętu</w:t>
      </w:r>
    </w:p>
    <w:p w14:paraId="06AC4993"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sprzętu podano w SST D-00.00.00 Wymagania ogólne pkt 3.</w:t>
      </w:r>
    </w:p>
    <w:p w14:paraId="1A8F310B"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Sprzęt do oczyszczania warstw nawierzchni</w:t>
      </w:r>
    </w:p>
    <w:p w14:paraId="02594605"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Wykonawca przystępujący do oczyszczania warstw nawierzchni, powinien wykazać się możliwością korzystania z następującego sprzętu:</w:t>
      </w:r>
    </w:p>
    <w:p w14:paraId="35DFEB2F" w14:textId="77777777" w:rsidR="005639B8" w:rsidRPr="005639B8" w:rsidRDefault="005639B8" w:rsidP="005639B8">
      <w:pPr>
        <w:pStyle w:val="Standard"/>
        <w:numPr>
          <w:ilvl w:val="0"/>
          <w:numId w:val="60"/>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szczotek mechanicznych,</w:t>
      </w:r>
    </w:p>
    <w:p w14:paraId="6A4E3AD9"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56348054" w14:textId="77777777" w:rsidR="005639B8" w:rsidRPr="005639B8" w:rsidRDefault="005639B8" w:rsidP="005639B8">
      <w:pPr>
        <w:pStyle w:val="Standard"/>
        <w:numPr>
          <w:ilvl w:val="0"/>
          <w:numId w:val="61"/>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sprężarek,</w:t>
      </w:r>
    </w:p>
    <w:p w14:paraId="372C0D21" w14:textId="77777777" w:rsidR="005639B8" w:rsidRPr="005639B8" w:rsidRDefault="005639B8" w:rsidP="005639B8">
      <w:pPr>
        <w:pStyle w:val="Standard"/>
        <w:numPr>
          <w:ilvl w:val="0"/>
          <w:numId w:val="61"/>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lastRenderedPageBreak/>
        <w:t>zbiorników z wodą,</w:t>
      </w:r>
    </w:p>
    <w:p w14:paraId="30007312" w14:textId="77777777" w:rsidR="005639B8" w:rsidRPr="005639B8" w:rsidRDefault="005639B8" w:rsidP="005639B8">
      <w:pPr>
        <w:pStyle w:val="Standard"/>
        <w:numPr>
          <w:ilvl w:val="0"/>
          <w:numId w:val="61"/>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szczotek ręcznych.</w:t>
      </w:r>
    </w:p>
    <w:p w14:paraId="1C4B4957"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Sprzęt do skrapiania warstw nawierzchni</w:t>
      </w:r>
    </w:p>
    <w:p w14:paraId="0F49533E"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Do skrapiania warstw nawierzchni należy używać skrapiarkę lepiszcza. Skrapiarka powinna być wyposażona w urządzenia pomiarowo-kontrolne pozwalające na sprawdzanie i regulowanie następujących parametrów:</w:t>
      </w:r>
    </w:p>
    <w:p w14:paraId="0B0B33B0" w14:textId="77777777" w:rsidR="005639B8" w:rsidRPr="005639B8" w:rsidRDefault="005639B8" w:rsidP="005639B8">
      <w:pPr>
        <w:pStyle w:val="Standard"/>
        <w:numPr>
          <w:ilvl w:val="0"/>
          <w:numId w:val="62"/>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temperatury rozkładanego lepiszcza, ciśnienia lepiszcza w kolektorze,</w:t>
      </w:r>
    </w:p>
    <w:p w14:paraId="47CAA953" w14:textId="77777777" w:rsidR="005639B8" w:rsidRPr="005639B8" w:rsidRDefault="005639B8" w:rsidP="005639B8">
      <w:pPr>
        <w:pStyle w:val="Standard"/>
        <w:numPr>
          <w:ilvl w:val="0"/>
          <w:numId w:val="62"/>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obrotów pompy dozującej lepiszcze, prędkości poruszania się skrapiarki,</w:t>
      </w:r>
    </w:p>
    <w:p w14:paraId="44CEAC72" w14:textId="77777777" w:rsidR="005639B8" w:rsidRPr="005639B8" w:rsidRDefault="005639B8" w:rsidP="005639B8">
      <w:pPr>
        <w:pStyle w:val="Standard"/>
        <w:numPr>
          <w:ilvl w:val="0"/>
          <w:numId w:val="62"/>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wysokości i długości kolektora do rozkładania lepiszcza, dozatora lepiszcza.</w:t>
      </w:r>
    </w:p>
    <w:p w14:paraId="47BA5C5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53756805"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TRANSPORT</w:t>
      </w:r>
    </w:p>
    <w:p w14:paraId="5A246FAA"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transportu</w:t>
      </w:r>
    </w:p>
    <w:p w14:paraId="42DCC385"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wymagania dotyczące transportu podano w SST D-00.00.00 Wymagania ogólne</w:t>
      </w:r>
      <w:r w:rsidRPr="005639B8">
        <w:rPr>
          <w:rFonts w:ascii="Aptos Display" w:hAnsi="Aptos Display"/>
          <w:sz w:val="18"/>
          <w:szCs w:val="18"/>
        </w:rPr>
        <w:br/>
        <w:t>pkt 4.</w:t>
      </w:r>
    </w:p>
    <w:p w14:paraId="2A459B56"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Transport lepiszczy</w:t>
      </w:r>
    </w:p>
    <w:p w14:paraId="4B64F9CC"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Asfalty mogą być transportowane w cysternach kolejowych lub samochodowych, posiadających izolację termiczną, zaopatrzonych w urządzenia grzewcze, zawory spustowe i zabezpieczonych przed dostępem wody. 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m3, a każda przegroda powinna mieć wykroje w dnie umożliwiające przepływ emulsji. Cysterny, pojemniki i zbiorniki przeznaczone do transportu lub składowania emulsji powinny być czyste i nie powinny zawierać resztek innych lepiszczy.</w:t>
      </w:r>
    </w:p>
    <w:p w14:paraId="7BCFF2DA"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73A49D0A"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WYKONANIE ROBÓT</w:t>
      </w:r>
    </w:p>
    <w:p w14:paraId="0D296E9D"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zasady wykonania robót</w:t>
      </w:r>
    </w:p>
    <w:p w14:paraId="098538C2"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zasady wykonania robót podano w SST D-00.00.00 Wymagania ogólne pkt 5.</w:t>
      </w:r>
    </w:p>
    <w:p w14:paraId="56DF1509"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Oczyszczenie warstw nawierzchni</w:t>
      </w:r>
    </w:p>
    <w:p w14:paraId="4736DAB4"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14:paraId="1E70FC77"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Skropienie warstw nawierzchni</w:t>
      </w:r>
    </w:p>
    <w:p w14:paraId="6F92293C"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Warstwa przed skropieniem powinna być oczyszczona. Jeżeli do czyszczenia warstwy była używana woda, to skropienie lepiszczem może nastąpić dopiero po wyschnięciu warstwy, z wyjątkiem zastosowania emulsji, przy których nawierzchnia może być wilgotna. Skropienie warstwy może rozpocząć się po akceptacji przez Inżyniera jej oczyszczenia. Warstwa nawierzchni powinna być skrapiana lepiszczem przy użyciu skrapiarek, a w miejscach trudno dostępnych ręcznie (za pomocą węża z dyszą rozpryskową). Temperatury lepiszczy powinny mieścić się w przedziałach podanych w tablicy 2.</w:t>
      </w:r>
    </w:p>
    <w:p w14:paraId="5544D1FD"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4C38C607"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Tablica 2. Temperatury lepiszczy przy skrapianiu</w:t>
      </w:r>
    </w:p>
    <w:tbl>
      <w:tblPr>
        <w:tblW w:w="6660" w:type="dxa"/>
        <w:tblInd w:w="58" w:type="dxa"/>
        <w:tblLayout w:type="fixed"/>
        <w:tblCellMar>
          <w:left w:w="10" w:type="dxa"/>
          <w:right w:w="10" w:type="dxa"/>
        </w:tblCellMar>
        <w:tblLook w:val="0000" w:firstRow="0" w:lastRow="0" w:firstColumn="0" w:lastColumn="0" w:noHBand="0" w:noVBand="0"/>
      </w:tblPr>
      <w:tblGrid>
        <w:gridCol w:w="780"/>
        <w:gridCol w:w="3390"/>
        <w:gridCol w:w="2490"/>
      </w:tblGrid>
      <w:tr w:rsidR="005639B8" w:rsidRPr="005639B8" w14:paraId="7C28C83D" w14:textId="77777777" w:rsidTr="000F0899">
        <w:tc>
          <w:tcPr>
            <w:tcW w:w="780" w:type="dxa"/>
            <w:tcBorders>
              <w:top w:val="single" w:sz="2" w:space="0" w:color="000000"/>
              <w:left w:val="single" w:sz="2" w:space="0" w:color="000000"/>
              <w:bottom w:val="single" w:sz="2" w:space="0" w:color="000000"/>
            </w:tcBorders>
            <w:tcMar>
              <w:top w:w="55" w:type="dxa"/>
              <w:left w:w="55" w:type="dxa"/>
              <w:bottom w:w="55" w:type="dxa"/>
              <w:right w:w="55" w:type="dxa"/>
            </w:tcMar>
          </w:tcPr>
          <w:p w14:paraId="3911E2B2" w14:textId="77777777" w:rsidR="005639B8" w:rsidRPr="005639B8" w:rsidRDefault="005639B8" w:rsidP="005639B8">
            <w:pPr>
              <w:pStyle w:val="TableContents"/>
              <w:tabs>
                <w:tab w:val="left" w:pos="567"/>
              </w:tabs>
              <w:jc w:val="both"/>
              <w:rPr>
                <w:rFonts w:ascii="Aptos Display" w:hAnsi="Aptos Display"/>
                <w:sz w:val="18"/>
                <w:szCs w:val="18"/>
              </w:rPr>
            </w:pPr>
            <w:r w:rsidRPr="005639B8">
              <w:rPr>
                <w:rFonts w:ascii="Aptos Display" w:hAnsi="Aptos Display"/>
                <w:sz w:val="18"/>
                <w:szCs w:val="18"/>
              </w:rPr>
              <w:t>Lp.</w:t>
            </w:r>
          </w:p>
        </w:tc>
        <w:tc>
          <w:tcPr>
            <w:tcW w:w="3390" w:type="dxa"/>
            <w:tcBorders>
              <w:top w:val="single" w:sz="2" w:space="0" w:color="000000"/>
              <w:left w:val="single" w:sz="2" w:space="0" w:color="000000"/>
              <w:bottom w:val="single" w:sz="2" w:space="0" w:color="000000"/>
            </w:tcBorders>
            <w:tcMar>
              <w:top w:w="55" w:type="dxa"/>
              <w:left w:w="55" w:type="dxa"/>
              <w:bottom w:w="55" w:type="dxa"/>
              <w:right w:w="55" w:type="dxa"/>
            </w:tcMar>
          </w:tcPr>
          <w:p w14:paraId="7E328C92" w14:textId="77777777" w:rsidR="005639B8" w:rsidRPr="005639B8" w:rsidRDefault="005639B8" w:rsidP="005639B8">
            <w:pPr>
              <w:pStyle w:val="TableContents"/>
              <w:tabs>
                <w:tab w:val="left" w:pos="567"/>
              </w:tabs>
              <w:jc w:val="both"/>
              <w:rPr>
                <w:rFonts w:ascii="Aptos Display" w:hAnsi="Aptos Display"/>
                <w:sz w:val="18"/>
                <w:szCs w:val="18"/>
              </w:rPr>
            </w:pPr>
            <w:r w:rsidRPr="005639B8">
              <w:rPr>
                <w:rFonts w:ascii="Aptos Display" w:hAnsi="Aptos Display"/>
                <w:sz w:val="18"/>
                <w:szCs w:val="18"/>
              </w:rPr>
              <w:t>Rodzaj lepiszcza</w:t>
            </w:r>
          </w:p>
        </w:tc>
        <w:tc>
          <w:tcPr>
            <w:tcW w:w="249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447A8EF" w14:textId="77777777" w:rsidR="005639B8" w:rsidRPr="005639B8" w:rsidRDefault="005639B8" w:rsidP="005639B8">
            <w:pPr>
              <w:pStyle w:val="TableContents"/>
              <w:tabs>
                <w:tab w:val="left" w:pos="567"/>
              </w:tabs>
              <w:jc w:val="both"/>
              <w:rPr>
                <w:rFonts w:ascii="Aptos Display" w:hAnsi="Aptos Display"/>
                <w:sz w:val="18"/>
                <w:szCs w:val="18"/>
              </w:rPr>
            </w:pPr>
            <w:r w:rsidRPr="005639B8">
              <w:rPr>
                <w:rFonts w:ascii="Aptos Display" w:hAnsi="Aptos Display"/>
                <w:sz w:val="18"/>
                <w:szCs w:val="18"/>
              </w:rPr>
              <w:t>Temperatury (</w:t>
            </w:r>
            <w:proofErr w:type="spellStart"/>
            <w:r w:rsidRPr="005639B8">
              <w:rPr>
                <w:rFonts w:ascii="Aptos Display" w:hAnsi="Aptos Display"/>
                <w:sz w:val="18"/>
                <w:szCs w:val="18"/>
                <w:vertAlign w:val="superscript"/>
              </w:rPr>
              <w:t>o</w:t>
            </w:r>
            <w:r w:rsidRPr="005639B8">
              <w:rPr>
                <w:rFonts w:ascii="Aptos Display" w:hAnsi="Aptos Display"/>
                <w:sz w:val="18"/>
                <w:szCs w:val="18"/>
              </w:rPr>
              <w:t>C</w:t>
            </w:r>
            <w:proofErr w:type="spellEnd"/>
            <w:r w:rsidRPr="005639B8">
              <w:rPr>
                <w:rFonts w:ascii="Aptos Display" w:hAnsi="Aptos Display"/>
                <w:sz w:val="18"/>
                <w:szCs w:val="18"/>
              </w:rPr>
              <w:t>)</w:t>
            </w:r>
          </w:p>
        </w:tc>
      </w:tr>
      <w:tr w:rsidR="005639B8" w:rsidRPr="005639B8" w14:paraId="5E3595D9" w14:textId="77777777" w:rsidTr="000F0899">
        <w:tc>
          <w:tcPr>
            <w:tcW w:w="780" w:type="dxa"/>
            <w:tcBorders>
              <w:left w:val="single" w:sz="2" w:space="0" w:color="000000"/>
              <w:bottom w:val="single" w:sz="2" w:space="0" w:color="000000"/>
            </w:tcBorders>
            <w:tcMar>
              <w:top w:w="55" w:type="dxa"/>
              <w:left w:w="55" w:type="dxa"/>
              <w:bottom w:w="55" w:type="dxa"/>
              <w:right w:w="55" w:type="dxa"/>
            </w:tcMar>
          </w:tcPr>
          <w:p w14:paraId="4396D042" w14:textId="77777777" w:rsidR="005639B8" w:rsidRPr="005639B8" w:rsidRDefault="005639B8" w:rsidP="005639B8">
            <w:pPr>
              <w:pStyle w:val="TableContents"/>
              <w:tabs>
                <w:tab w:val="left" w:pos="567"/>
              </w:tabs>
              <w:jc w:val="both"/>
              <w:rPr>
                <w:rFonts w:ascii="Aptos Display" w:hAnsi="Aptos Display"/>
                <w:sz w:val="18"/>
                <w:szCs w:val="18"/>
              </w:rPr>
            </w:pPr>
            <w:r w:rsidRPr="005639B8">
              <w:rPr>
                <w:rFonts w:ascii="Aptos Display" w:hAnsi="Aptos Display"/>
                <w:sz w:val="18"/>
                <w:szCs w:val="18"/>
              </w:rPr>
              <w:t>1</w:t>
            </w:r>
          </w:p>
        </w:tc>
        <w:tc>
          <w:tcPr>
            <w:tcW w:w="3390" w:type="dxa"/>
            <w:tcBorders>
              <w:left w:val="single" w:sz="2" w:space="0" w:color="000000"/>
              <w:bottom w:val="single" w:sz="2" w:space="0" w:color="000000"/>
            </w:tcBorders>
            <w:tcMar>
              <w:top w:w="55" w:type="dxa"/>
              <w:left w:w="55" w:type="dxa"/>
              <w:bottom w:w="55" w:type="dxa"/>
              <w:right w:w="55" w:type="dxa"/>
            </w:tcMar>
          </w:tcPr>
          <w:p w14:paraId="0BC056CF" w14:textId="77777777" w:rsidR="005639B8" w:rsidRPr="005639B8" w:rsidRDefault="005639B8" w:rsidP="005639B8">
            <w:pPr>
              <w:pStyle w:val="TableContents"/>
              <w:tabs>
                <w:tab w:val="left" w:pos="567"/>
              </w:tabs>
              <w:jc w:val="both"/>
              <w:rPr>
                <w:rFonts w:ascii="Aptos Display" w:hAnsi="Aptos Display"/>
                <w:sz w:val="18"/>
                <w:szCs w:val="18"/>
              </w:rPr>
            </w:pPr>
            <w:r w:rsidRPr="005639B8">
              <w:rPr>
                <w:rFonts w:ascii="Aptos Display" w:hAnsi="Aptos Display"/>
                <w:sz w:val="18"/>
                <w:szCs w:val="18"/>
              </w:rPr>
              <w:t>Emulsja asfaltowa kationowa</w:t>
            </w:r>
          </w:p>
        </w:tc>
        <w:tc>
          <w:tcPr>
            <w:tcW w:w="249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CCF0D13" w14:textId="77777777" w:rsidR="005639B8" w:rsidRPr="005639B8" w:rsidRDefault="005639B8" w:rsidP="005639B8">
            <w:pPr>
              <w:pStyle w:val="TableContents"/>
              <w:tabs>
                <w:tab w:val="left" w:pos="567"/>
              </w:tabs>
              <w:jc w:val="both"/>
              <w:rPr>
                <w:rFonts w:ascii="Aptos Display" w:hAnsi="Aptos Display"/>
                <w:sz w:val="18"/>
                <w:szCs w:val="18"/>
              </w:rPr>
            </w:pPr>
            <w:r w:rsidRPr="005639B8">
              <w:rPr>
                <w:rFonts w:ascii="Aptos Display" w:hAnsi="Aptos Display"/>
                <w:sz w:val="18"/>
                <w:szCs w:val="18"/>
              </w:rPr>
              <w:t xml:space="preserve"> od 20 do 40 *</w:t>
            </w:r>
          </w:p>
        </w:tc>
      </w:tr>
    </w:tbl>
    <w:p w14:paraId="48C2A117"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W razie potrzeby emulsję należy ogrzać do temperatury zapewniającej wymaganą lepkość.</w:t>
      </w:r>
    </w:p>
    <w:p w14:paraId="6DAAC179"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4ACD422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Jeżeli do skropienia została użyta emulsja asfaltowa, to skropiona warstwa powinna być pozostawiona bez jakiegokolwiek ruchu na czas niezbędny dla umożliwienia penetracji lepiszcza w warstwę i odparowania wody z emulsji. Orientacyjny czas powinien wynosić co najmniej:</w:t>
      </w:r>
    </w:p>
    <w:p w14:paraId="3F6FD47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- 8 godzin w przypadku stosowania więcej niż 1,0 kg/m2 emulsji,</w:t>
      </w:r>
    </w:p>
    <w:p w14:paraId="4036D490"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- 2 godziny w przypadku stosowania od 0,5 do 1,0 kg/m2 emulsji,</w:t>
      </w:r>
    </w:p>
    <w:p w14:paraId="1285716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- 0,5 godziny w przypadku stosowania 0,2 do 0,5 kg/m2 emulsji.</w:t>
      </w:r>
    </w:p>
    <w:p w14:paraId="245C5523"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Nie dotyczy to powierzchni skrapianej układarką wyposażoną w rampę skrapiającą.</w:t>
      </w:r>
    </w:p>
    <w:p w14:paraId="053AD598"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Przed ułożeniem warstwy z mieszanki </w:t>
      </w:r>
      <w:proofErr w:type="spellStart"/>
      <w:r w:rsidRPr="005639B8">
        <w:rPr>
          <w:rFonts w:ascii="Aptos Display" w:hAnsi="Aptos Display"/>
          <w:sz w:val="18"/>
          <w:szCs w:val="18"/>
        </w:rPr>
        <w:t>mineralno</w:t>
      </w:r>
      <w:proofErr w:type="spellEnd"/>
      <w:r w:rsidRPr="005639B8">
        <w:rPr>
          <w:rFonts w:ascii="Aptos Display" w:hAnsi="Aptos Display"/>
          <w:sz w:val="18"/>
          <w:szCs w:val="18"/>
        </w:rPr>
        <w:t xml:space="preserve"> - bitumicznej Wykonawca powinien zabezpieczyć skropioną warstwę nawierzchni przed uszkodzeniem dopuszczając tylko niezbędny ruch budowlany.</w:t>
      </w:r>
    </w:p>
    <w:p w14:paraId="3D20CC56"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2E4BC7D9"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KONTROLA JAKOŚCI ROBÓT</w:t>
      </w:r>
    </w:p>
    <w:p w14:paraId="2C3EAA0C"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zasady kontroli jakości robót</w:t>
      </w:r>
    </w:p>
    <w:p w14:paraId="7B0E5C82"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zasady kontroli jakości robót podano w SST D-00.00.00 Wymagania ogólne pkt 6.</w:t>
      </w:r>
    </w:p>
    <w:p w14:paraId="70FFD25F"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Badania przed przystąpieniem do robót</w:t>
      </w:r>
    </w:p>
    <w:p w14:paraId="21367D20"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Przed przystąpieniem do robót Wykonawca powinien przeprowadzić próbne skropienie warstwy w celu określenia optymalnych parametrów pracy skrapiarki i określenia wymaganej ilości lepiszcza w zależności od rodzaju i stanu warstwy przewidzianej do skropienia.</w:t>
      </w:r>
    </w:p>
    <w:p w14:paraId="426AFCC8"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Badania w czasie robót</w:t>
      </w:r>
    </w:p>
    <w:p w14:paraId="1D705B6D" w14:textId="77777777" w:rsidR="005639B8" w:rsidRPr="005639B8" w:rsidRDefault="005639B8" w:rsidP="005639B8">
      <w:pPr>
        <w:pStyle w:val="Standard"/>
        <w:numPr>
          <w:ilvl w:val="2"/>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Badania lepiszczy</w:t>
      </w:r>
    </w:p>
    <w:p w14:paraId="7A70251C"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Ocena lepiszczy powinna być oparta na atestach producenta</w:t>
      </w:r>
    </w:p>
    <w:p w14:paraId="3B4C8C12" w14:textId="77777777" w:rsidR="005639B8" w:rsidRPr="005639B8" w:rsidRDefault="005639B8" w:rsidP="005639B8">
      <w:pPr>
        <w:pStyle w:val="Standard"/>
        <w:numPr>
          <w:ilvl w:val="2"/>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lastRenderedPageBreak/>
        <w:t>Sprawdzenie jednorodności skropienia i zużycia lepiszcza</w:t>
      </w:r>
    </w:p>
    <w:p w14:paraId="02A673C5"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Należy przeprowadzić kontrolę ilości rozkładanego lepiszcza według metody podanej w opracowaniu „Powierzchniowe utrwalenia. Oznaczanie ilości rozkładanego lepiszcza i kruszywa”.</w:t>
      </w:r>
    </w:p>
    <w:p w14:paraId="46B40F41" w14:textId="77777777" w:rsidR="005639B8" w:rsidRPr="005639B8" w:rsidRDefault="005639B8" w:rsidP="005639B8">
      <w:pPr>
        <w:pStyle w:val="Standard"/>
        <w:numPr>
          <w:ilvl w:val="2"/>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Sprawdzenie oczyszczenia</w:t>
      </w:r>
    </w:p>
    <w:p w14:paraId="04B9FD6C"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Ocena oczyszczenia warstwy konstrukcyjnej podlega na ocenie wizualnej dokładności wykonania tej czynności.</w:t>
      </w:r>
    </w:p>
    <w:p w14:paraId="6E3BC351"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Wymagania dotyczące wytrzymałości połączeń</w:t>
      </w:r>
    </w:p>
    <w:p w14:paraId="05C0E547"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Wytrzymałość na ścinanie wykonanego połączenia </w:t>
      </w:r>
      <w:proofErr w:type="spellStart"/>
      <w:r w:rsidRPr="005639B8">
        <w:rPr>
          <w:rFonts w:ascii="Aptos Display" w:hAnsi="Aptos Display"/>
          <w:sz w:val="18"/>
          <w:szCs w:val="18"/>
        </w:rPr>
        <w:t>międzywarstwowego</w:t>
      </w:r>
      <w:proofErr w:type="spellEnd"/>
      <w:r w:rsidRPr="005639B8">
        <w:rPr>
          <w:rFonts w:ascii="Aptos Display" w:hAnsi="Aptos Display"/>
          <w:sz w:val="18"/>
          <w:szCs w:val="18"/>
        </w:rPr>
        <w:t xml:space="preserve"> nie może być niższa niż:</w:t>
      </w:r>
    </w:p>
    <w:p w14:paraId="5428892B" w14:textId="77777777" w:rsidR="005639B8" w:rsidRPr="005639B8" w:rsidRDefault="005639B8" w:rsidP="005639B8">
      <w:pPr>
        <w:pStyle w:val="Standard"/>
        <w:numPr>
          <w:ilvl w:val="0"/>
          <w:numId w:val="63"/>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1,0 MPa – dla połączeń warstwa ścieralna/wiążąca</w:t>
      </w:r>
    </w:p>
    <w:p w14:paraId="32230F30" w14:textId="77777777" w:rsidR="005639B8" w:rsidRPr="005639B8" w:rsidRDefault="005639B8" w:rsidP="005639B8">
      <w:pPr>
        <w:pStyle w:val="Standard"/>
        <w:numPr>
          <w:ilvl w:val="0"/>
          <w:numId w:val="63"/>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0,7 MPa – dla połączeń warstwa wiążąca/podbudowa oraz podbudowa asfaltowa/podbudowa asfaltowa gdy jest układana w dwóch warstwach</w:t>
      </w:r>
    </w:p>
    <w:p w14:paraId="060A72BE"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59E08F61"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OBMIAR ROBÓT</w:t>
      </w:r>
    </w:p>
    <w:p w14:paraId="16E96A76"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zasady obmiaru robót</w:t>
      </w:r>
    </w:p>
    <w:p w14:paraId="13A5EBC4"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zasady obmiaru robót podano w SST D-00.00.00 Wymagania ogólne pkt 7.</w:t>
      </w:r>
    </w:p>
    <w:p w14:paraId="5F5268D6"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Jednostka obmiarowa</w:t>
      </w:r>
    </w:p>
    <w:p w14:paraId="778CC124"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Jednostką obmiarową jest m2 (metr kwadratowy) powierzchni oczyszczonej i skropionej.</w:t>
      </w:r>
    </w:p>
    <w:p w14:paraId="6DDA7564"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70D66C25"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6CFFBA27"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ODBIÓR ROBÓT</w:t>
      </w:r>
    </w:p>
    <w:p w14:paraId="29956DF8"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zasady odbioru robót podano w SST D-00.00.00 Wymagania ogólne pkt 8.</w:t>
      </w:r>
    </w:p>
    <w:p w14:paraId="64A88A0D"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ab/>
        <w:t>Roboty uznaje się za wykonane zgodnie z dokumentacją projektową, SST i wymaganiami Inżyniera, jeżeli wszystkie pomiary i badania z zachowaniem tolerancji wg pkt 6 dały wyniki pozytywne.</w:t>
      </w:r>
    </w:p>
    <w:p w14:paraId="30C4EF16"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0E14FB15"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PODSTAWA PŁATNOŚCI</w:t>
      </w:r>
    </w:p>
    <w:p w14:paraId="55F1112C"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ustalenia dotyczące podstawy płatności</w:t>
      </w:r>
    </w:p>
    <w:p w14:paraId="1C2C95D6"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Ogólne ustalenia dotyczące podstawy płatności podano w SST D-00.00.00 Wymagania ogólne pkt 9.</w:t>
      </w:r>
    </w:p>
    <w:p w14:paraId="757CE5D7"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Cena jednostki obmiarowej</w:t>
      </w:r>
    </w:p>
    <w:p w14:paraId="538A64A9"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Cena 1 m2 oczyszczenia warstw konstrukcyjnych obejmuje:</w:t>
      </w:r>
    </w:p>
    <w:p w14:paraId="7F449576" w14:textId="77777777" w:rsidR="005639B8" w:rsidRPr="005639B8" w:rsidRDefault="005639B8" w:rsidP="005639B8">
      <w:pPr>
        <w:pStyle w:val="Standard"/>
        <w:numPr>
          <w:ilvl w:val="0"/>
          <w:numId w:val="64"/>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mechaniczne oczyszczenie każdej niżej położonej warstwy konstrukcyjnej nawierzchni z ewentualnym polewaniem wodą lub użyciem sprężonego powietrza,</w:t>
      </w:r>
    </w:p>
    <w:p w14:paraId="0526C98E" w14:textId="77777777" w:rsidR="005639B8" w:rsidRPr="005639B8" w:rsidRDefault="005639B8" w:rsidP="005639B8">
      <w:pPr>
        <w:pStyle w:val="Standard"/>
        <w:numPr>
          <w:ilvl w:val="0"/>
          <w:numId w:val="64"/>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ręczne odspojenie stwardniałych zanieczyszczeń.</w:t>
      </w:r>
    </w:p>
    <w:p w14:paraId="3C0EFF76"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            Cena  1 m2 skropienia warstw konstrukcyjnych obejmuje:</w:t>
      </w:r>
    </w:p>
    <w:p w14:paraId="266B3885" w14:textId="77777777" w:rsidR="005639B8" w:rsidRPr="005639B8" w:rsidRDefault="005639B8" w:rsidP="005639B8">
      <w:pPr>
        <w:pStyle w:val="Standard"/>
        <w:numPr>
          <w:ilvl w:val="0"/>
          <w:numId w:val="65"/>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zakup, dostarczenie lepiszcza i napełnienie nim skrapiarek,</w:t>
      </w:r>
    </w:p>
    <w:p w14:paraId="7A641A4F" w14:textId="77777777" w:rsidR="005639B8" w:rsidRPr="005639B8" w:rsidRDefault="005639B8" w:rsidP="005639B8">
      <w:pPr>
        <w:pStyle w:val="Standard"/>
        <w:numPr>
          <w:ilvl w:val="0"/>
          <w:numId w:val="65"/>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podgrzanie lepiszcza  do wymaganej temperatury,</w:t>
      </w:r>
    </w:p>
    <w:p w14:paraId="6D523A4A" w14:textId="77777777" w:rsidR="005639B8" w:rsidRPr="005639B8" w:rsidRDefault="005639B8" w:rsidP="005639B8">
      <w:pPr>
        <w:pStyle w:val="Standard"/>
        <w:numPr>
          <w:ilvl w:val="0"/>
          <w:numId w:val="65"/>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skropienie powierzchni warstwy lepiszczem,</w:t>
      </w:r>
    </w:p>
    <w:p w14:paraId="069310D0" w14:textId="77777777" w:rsidR="005639B8" w:rsidRPr="005639B8" w:rsidRDefault="005639B8" w:rsidP="005639B8">
      <w:pPr>
        <w:pStyle w:val="Standard"/>
        <w:numPr>
          <w:ilvl w:val="0"/>
          <w:numId w:val="65"/>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przeprowadzenie pomiarów i badań laboratoryjnych wymaganych w specyfikacji technicznej.</w:t>
      </w:r>
    </w:p>
    <w:p w14:paraId="52F8ACA4"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2903E872" w14:textId="77777777" w:rsidR="005639B8" w:rsidRPr="005639B8" w:rsidRDefault="005639B8" w:rsidP="005639B8">
      <w:pPr>
        <w:pStyle w:val="Standard"/>
        <w:tabs>
          <w:tab w:val="left" w:pos="567"/>
          <w:tab w:val="right" w:leader="dot" w:pos="7937"/>
        </w:tabs>
        <w:jc w:val="both"/>
        <w:rPr>
          <w:rFonts w:ascii="Aptos Display" w:hAnsi="Aptos Display"/>
          <w:sz w:val="18"/>
          <w:szCs w:val="18"/>
        </w:rPr>
      </w:pPr>
    </w:p>
    <w:p w14:paraId="15F9213A" w14:textId="77777777" w:rsidR="005639B8" w:rsidRPr="005639B8" w:rsidRDefault="005639B8" w:rsidP="005639B8">
      <w:pPr>
        <w:pStyle w:val="Standard"/>
        <w:numPr>
          <w:ilvl w:val="0"/>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PRZEPISY ZWIĄZANE</w:t>
      </w:r>
    </w:p>
    <w:p w14:paraId="117C704F"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Normy</w:t>
      </w:r>
    </w:p>
    <w:p w14:paraId="6DED500D" w14:textId="77777777" w:rsidR="005639B8" w:rsidRPr="005639B8" w:rsidRDefault="005639B8" w:rsidP="005639B8">
      <w:pPr>
        <w:pStyle w:val="Standard"/>
        <w:numPr>
          <w:ilvl w:val="0"/>
          <w:numId w:val="66"/>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PN-EN 13808:2010 Asfalty i lepiszcza asfaltowe.</w:t>
      </w:r>
    </w:p>
    <w:p w14:paraId="4424FC42" w14:textId="77777777" w:rsidR="005639B8" w:rsidRPr="005639B8" w:rsidRDefault="005639B8" w:rsidP="005639B8">
      <w:pPr>
        <w:pStyle w:val="Standard"/>
        <w:numPr>
          <w:ilvl w:val="0"/>
          <w:numId w:val="66"/>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PN-EN 13808:2010 Asfalty i lepiszcza asfaltowe. Zasady klasyfikacji kationowych emulsji asfaltowych</w:t>
      </w:r>
    </w:p>
    <w:p w14:paraId="59EE3B6E" w14:textId="77777777" w:rsidR="005639B8" w:rsidRPr="005639B8" w:rsidRDefault="005639B8" w:rsidP="005639B8">
      <w:pPr>
        <w:pStyle w:val="Standard"/>
        <w:numPr>
          <w:ilvl w:val="0"/>
          <w:numId w:val="66"/>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PN-EN 12591:2010 Asfalty i produkty asfaltowe. Wymagania dla asfaltów</w:t>
      </w:r>
    </w:p>
    <w:p w14:paraId="236AC16E" w14:textId="77777777" w:rsidR="005639B8" w:rsidRPr="005639B8" w:rsidRDefault="005639B8" w:rsidP="005639B8">
      <w:pPr>
        <w:pStyle w:val="Standard"/>
        <w:numPr>
          <w:ilvl w:val="0"/>
          <w:numId w:val="66"/>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PN-C-96173 Przetwory naftowe. Asfalty upłynnione AUN do nawierzchni drogowych</w:t>
      </w:r>
    </w:p>
    <w:p w14:paraId="518B63F7" w14:textId="77777777" w:rsidR="005639B8" w:rsidRPr="005639B8" w:rsidRDefault="005639B8" w:rsidP="005639B8">
      <w:pPr>
        <w:pStyle w:val="Standard"/>
        <w:numPr>
          <w:ilvl w:val="0"/>
          <w:numId w:val="66"/>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PN-EN 1426 Asfalty i produkty asfaltowe. Oznaczenie penetracji igłą</w:t>
      </w:r>
    </w:p>
    <w:p w14:paraId="6B86CDC0" w14:textId="77777777" w:rsidR="005639B8" w:rsidRPr="005639B8" w:rsidRDefault="005639B8" w:rsidP="005639B8">
      <w:pPr>
        <w:pStyle w:val="Standard"/>
        <w:numPr>
          <w:ilvl w:val="0"/>
          <w:numId w:val="66"/>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PN-EN 13075-1 Asfalty i lepiszcza asfaltowe. Badanie rozpadu. Część 1: Oznaczenie indeksu rozpadu kationowych emulsji asfaltowych, metoda z wypełniaczem mineralnym.</w:t>
      </w:r>
    </w:p>
    <w:p w14:paraId="2D90227B" w14:textId="77777777" w:rsidR="005639B8" w:rsidRPr="005639B8" w:rsidRDefault="005639B8" w:rsidP="005639B8">
      <w:pPr>
        <w:pStyle w:val="Standard"/>
        <w:numPr>
          <w:ilvl w:val="0"/>
          <w:numId w:val="66"/>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PN-EN 13614 Asfalty i lepiszcza asfaltowe. Oznaczenie przyczepności emulsji bitumicznych przez zanurzenie w wodzie – Metoda z kruszywem.</w:t>
      </w:r>
    </w:p>
    <w:p w14:paraId="0D879989" w14:textId="77777777" w:rsidR="005639B8" w:rsidRPr="005639B8" w:rsidRDefault="005639B8" w:rsidP="005639B8">
      <w:pPr>
        <w:pStyle w:val="Standard"/>
        <w:numPr>
          <w:ilvl w:val="1"/>
          <w:numId w:val="58"/>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Inne materiały</w:t>
      </w:r>
    </w:p>
    <w:p w14:paraId="2619CFDF" w14:textId="77777777" w:rsidR="005639B8" w:rsidRPr="005639B8" w:rsidRDefault="005639B8" w:rsidP="005639B8">
      <w:pPr>
        <w:pStyle w:val="Standard"/>
        <w:numPr>
          <w:ilvl w:val="0"/>
          <w:numId w:val="67"/>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„Powierzchniowe utrwalenia. Oznaczanie ilości rozkładanego lepiszcza i kruszywa”. Zalecone przez GDDP do stosowania pismem GDDP-5.3a-551/5/92 z dnia 1992-02-03.</w:t>
      </w:r>
    </w:p>
    <w:p w14:paraId="47487334" w14:textId="77777777" w:rsidR="005639B8" w:rsidRPr="005639B8" w:rsidRDefault="005639B8" w:rsidP="005639B8">
      <w:pPr>
        <w:pStyle w:val="Standard"/>
        <w:numPr>
          <w:ilvl w:val="0"/>
          <w:numId w:val="67"/>
        </w:numPr>
        <w:tabs>
          <w:tab w:val="left" w:pos="567"/>
          <w:tab w:val="right" w:leader="dot" w:pos="7937"/>
        </w:tabs>
        <w:jc w:val="both"/>
        <w:rPr>
          <w:rFonts w:ascii="Aptos Display" w:hAnsi="Aptos Display"/>
          <w:sz w:val="18"/>
          <w:szCs w:val="18"/>
        </w:rPr>
      </w:pPr>
      <w:r w:rsidRPr="005639B8">
        <w:rPr>
          <w:rFonts w:ascii="Aptos Display" w:hAnsi="Aptos Display"/>
          <w:sz w:val="18"/>
          <w:szCs w:val="18"/>
        </w:rPr>
        <w:t xml:space="preserve">Warunki Techniczne. Drogowe kationowe emulsje asfaltowe EmA-94. </w:t>
      </w:r>
      <w:proofErr w:type="spellStart"/>
      <w:r w:rsidRPr="005639B8">
        <w:rPr>
          <w:rFonts w:ascii="Aptos Display" w:hAnsi="Aptos Display"/>
          <w:sz w:val="18"/>
          <w:szCs w:val="18"/>
        </w:rPr>
        <w:t>IBDiM</w:t>
      </w:r>
      <w:proofErr w:type="spellEnd"/>
      <w:r w:rsidRPr="005639B8">
        <w:rPr>
          <w:rFonts w:ascii="Aptos Display" w:hAnsi="Aptos Display"/>
          <w:sz w:val="18"/>
          <w:szCs w:val="18"/>
        </w:rPr>
        <w:t xml:space="preserve"> - 1994 r.</w:t>
      </w:r>
    </w:p>
    <w:p w14:paraId="3047CDCE" w14:textId="77777777" w:rsidR="00D6213F" w:rsidRDefault="00D6213F" w:rsidP="00E04FCC">
      <w:pPr>
        <w:pStyle w:val="Standard"/>
        <w:tabs>
          <w:tab w:val="left" w:pos="567"/>
          <w:tab w:val="right" w:leader="dot" w:pos="7937"/>
        </w:tabs>
        <w:jc w:val="both"/>
      </w:pPr>
    </w:p>
    <w:sectPr w:rsidR="00D621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D3C"/>
    <w:multiLevelType w:val="multilevel"/>
    <w:tmpl w:val="99FE24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 w15:restartNumberingAfterBreak="0">
    <w:nsid w:val="0B921F21"/>
    <w:multiLevelType w:val="multilevel"/>
    <w:tmpl w:val="1508405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 w15:restartNumberingAfterBreak="0">
    <w:nsid w:val="0C636D13"/>
    <w:multiLevelType w:val="multilevel"/>
    <w:tmpl w:val="685AE2B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C815253"/>
    <w:multiLevelType w:val="multilevel"/>
    <w:tmpl w:val="70D072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 w15:restartNumberingAfterBreak="0">
    <w:nsid w:val="0DB044A8"/>
    <w:multiLevelType w:val="multilevel"/>
    <w:tmpl w:val="3502F80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 w15:restartNumberingAfterBreak="0">
    <w:nsid w:val="0DD66B77"/>
    <w:multiLevelType w:val="multilevel"/>
    <w:tmpl w:val="07E2B0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1021776F"/>
    <w:multiLevelType w:val="multilevel"/>
    <w:tmpl w:val="F6D055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 w15:restartNumberingAfterBreak="0">
    <w:nsid w:val="108B594D"/>
    <w:multiLevelType w:val="multilevel"/>
    <w:tmpl w:val="D1D093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 w15:restartNumberingAfterBreak="0">
    <w:nsid w:val="113B3DD0"/>
    <w:multiLevelType w:val="multilevel"/>
    <w:tmpl w:val="159448F4"/>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3166DCC"/>
    <w:multiLevelType w:val="multilevel"/>
    <w:tmpl w:val="91502F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 w15:restartNumberingAfterBreak="0">
    <w:nsid w:val="16EF714F"/>
    <w:multiLevelType w:val="multilevel"/>
    <w:tmpl w:val="A62A16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 w15:restartNumberingAfterBreak="0">
    <w:nsid w:val="192B3FB4"/>
    <w:multiLevelType w:val="multilevel"/>
    <w:tmpl w:val="E9CE214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 w15:restartNumberingAfterBreak="0">
    <w:nsid w:val="1F8270A0"/>
    <w:multiLevelType w:val="multilevel"/>
    <w:tmpl w:val="5A0E1E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7"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19" w15:restartNumberingAfterBreak="0">
    <w:nsid w:val="26567CCB"/>
    <w:multiLevelType w:val="multilevel"/>
    <w:tmpl w:val="CA00F24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1"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2"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 w15:restartNumberingAfterBreak="0">
    <w:nsid w:val="2DF552D4"/>
    <w:multiLevelType w:val="multilevel"/>
    <w:tmpl w:val="EAF2F9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5"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6" w15:restartNumberingAfterBreak="0">
    <w:nsid w:val="34334BBA"/>
    <w:multiLevelType w:val="multilevel"/>
    <w:tmpl w:val="05CA994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 w15:restartNumberingAfterBreak="0">
    <w:nsid w:val="37DF2590"/>
    <w:multiLevelType w:val="multilevel"/>
    <w:tmpl w:val="F65231B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 w15:restartNumberingAfterBreak="0">
    <w:nsid w:val="38055F5F"/>
    <w:multiLevelType w:val="multilevel"/>
    <w:tmpl w:val="326241FC"/>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30" w15:restartNumberingAfterBreak="0">
    <w:nsid w:val="396058A5"/>
    <w:multiLevelType w:val="multilevel"/>
    <w:tmpl w:val="2E60A3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 w15:restartNumberingAfterBreak="0">
    <w:nsid w:val="3A2E4532"/>
    <w:multiLevelType w:val="multilevel"/>
    <w:tmpl w:val="0B02C83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 w15:restartNumberingAfterBreak="0">
    <w:nsid w:val="3AEE72D4"/>
    <w:multiLevelType w:val="multilevel"/>
    <w:tmpl w:val="24E0F60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C723489"/>
    <w:multiLevelType w:val="multilevel"/>
    <w:tmpl w:val="72A6E28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2D77CD5"/>
    <w:multiLevelType w:val="multilevel"/>
    <w:tmpl w:val="B0A8A9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6" w15:restartNumberingAfterBreak="0">
    <w:nsid w:val="48DF5AC5"/>
    <w:multiLevelType w:val="multilevel"/>
    <w:tmpl w:val="79E22EE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7" w15:restartNumberingAfterBreak="0">
    <w:nsid w:val="4AFE2BC0"/>
    <w:multiLevelType w:val="multilevel"/>
    <w:tmpl w:val="31A4E3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8" w15:restartNumberingAfterBreak="0">
    <w:nsid w:val="4BD72A74"/>
    <w:multiLevelType w:val="multilevel"/>
    <w:tmpl w:val="C492A9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9" w15:restartNumberingAfterBreak="0">
    <w:nsid w:val="4E025881"/>
    <w:multiLevelType w:val="multilevel"/>
    <w:tmpl w:val="8D4C11E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0"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3"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4"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5" w15:restartNumberingAfterBreak="0">
    <w:nsid w:val="547C4DF0"/>
    <w:multiLevelType w:val="multilevel"/>
    <w:tmpl w:val="46849D7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6" w15:restartNumberingAfterBreak="0">
    <w:nsid w:val="55D75D80"/>
    <w:multiLevelType w:val="multilevel"/>
    <w:tmpl w:val="532C33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7"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8"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9"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1"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52" w15:restartNumberingAfterBreak="0">
    <w:nsid w:val="6B5F6719"/>
    <w:multiLevelType w:val="multilevel"/>
    <w:tmpl w:val="E43A18FC"/>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BE16BFC"/>
    <w:multiLevelType w:val="multilevel"/>
    <w:tmpl w:val="64ACAB8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4" w15:restartNumberingAfterBreak="0">
    <w:nsid w:val="6CA37C2D"/>
    <w:multiLevelType w:val="multilevel"/>
    <w:tmpl w:val="99605C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5" w15:restartNumberingAfterBreak="0">
    <w:nsid w:val="6ED47E09"/>
    <w:multiLevelType w:val="multilevel"/>
    <w:tmpl w:val="6A188F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6" w15:restartNumberingAfterBreak="0">
    <w:nsid w:val="6EE11052"/>
    <w:multiLevelType w:val="multilevel"/>
    <w:tmpl w:val="73CE2A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7" w15:restartNumberingAfterBreak="0">
    <w:nsid w:val="726267EC"/>
    <w:multiLevelType w:val="multilevel"/>
    <w:tmpl w:val="0E2ADB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8" w15:restartNumberingAfterBreak="0">
    <w:nsid w:val="743C6547"/>
    <w:multiLevelType w:val="multilevel"/>
    <w:tmpl w:val="060E98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9"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61"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62"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3" w15:restartNumberingAfterBreak="0">
    <w:nsid w:val="7F05417D"/>
    <w:multiLevelType w:val="multilevel"/>
    <w:tmpl w:val="D20CCEEA"/>
    <w:lvl w:ilvl="0">
      <w:start w:val="1"/>
      <w:numFmt w:val="bullet"/>
      <w:suff w:val="nothing"/>
      <w:lvlText w:val=""/>
      <w:lvlJc w:val="left"/>
      <w:pPr>
        <w:ind w:left="1080" w:hanging="360"/>
      </w:pPr>
      <w:rPr>
        <w:rFonts w:ascii="Symbol" w:hAnsi="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4" w15:restartNumberingAfterBreak="0">
    <w:nsid w:val="7FCC1B3C"/>
    <w:multiLevelType w:val="multilevel"/>
    <w:tmpl w:val="408EDCF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49"/>
  </w:num>
  <w:num w:numId="2" w16cid:durableId="1090927194">
    <w:abstractNumId w:val="18"/>
  </w:num>
  <w:num w:numId="3" w16cid:durableId="1200051253">
    <w:abstractNumId w:val="49"/>
    <w:lvlOverride w:ilvl="0">
      <w:startOverride w:val="1"/>
    </w:lvlOverride>
    <w:lvlOverride w:ilvl="1">
      <w:startOverride w:val="1"/>
    </w:lvlOverride>
    <w:lvlOverride w:ilvl="2">
      <w:startOverride w:val="1"/>
    </w:lvlOverride>
  </w:num>
  <w:num w:numId="4" w16cid:durableId="1206597819">
    <w:abstractNumId w:val="44"/>
  </w:num>
  <w:num w:numId="5" w16cid:durableId="695620920">
    <w:abstractNumId w:val="20"/>
  </w:num>
  <w:num w:numId="6" w16cid:durableId="57169743">
    <w:abstractNumId w:val="49"/>
    <w:lvlOverride w:ilvl="0">
      <w:startOverride w:val="1"/>
    </w:lvlOverride>
    <w:lvlOverride w:ilvl="1">
      <w:startOverride w:val="1"/>
    </w:lvlOverride>
    <w:lvlOverride w:ilvl="2">
      <w:startOverride w:val="1"/>
    </w:lvlOverride>
  </w:num>
  <w:num w:numId="7" w16cid:durableId="983236745">
    <w:abstractNumId w:val="25"/>
  </w:num>
  <w:num w:numId="8" w16cid:durableId="678235787">
    <w:abstractNumId w:val="61"/>
  </w:num>
  <w:num w:numId="9" w16cid:durableId="543182273">
    <w:abstractNumId w:val="24"/>
  </w:num>
  <w:num w:numId="10" w16cid:durableId="815300288">
    <w:abstractNumId w:val="16"/>
  </w:num>
  <w:num w:numId="11" w16cid:durableId="1879464172">
    <w:abstractNumId w:val="50"/>
  </w:num>
  <w:num w:numId="12" w16cid:durableId="256448409">
    <w:abstractNumId w:val="35"/>
  </w:num>
  <w:num w:numId="13" w16cid:durableId="2099712370">
    <w:abstractNumId w:val="43"/>
  </w:num>
  <w:num w:numId="14" w16cid:durableId="2076859055">
    <w:abstractNumId w:val="21"/>
  </w:num>
  <w:num w:numId="15" w16cid:durableId="964165752">
    <w:abstractNumId w:val="47"/>
  </w:num>
  <w:num w:numId="16" w16cid:durableId="496503191">
    <w:abstractNumId w:val="60"/>
  </w:num>
  <w:num w:numId="17" w16cid:durableId="628512319">
    <w:abstractNumId w:val="5"/>
  </w:num>
  <w:num w:numId="18" w16cid:durableId="1775595661">
    <w:abstractNumId w:val="40"/>
  </w:num>
  <w:num w:numId="19" w16cid:durableId="514543739">
    <w:abstractNumId w:val="42"/>
  </w:num>
  <w:num w:numId="20" w16cid:durableId="527909604">
    <w:abstractNumId w:val="17"/>
  </w:num>
  <w:num w:numId="21" w16cid:durableId="1751269680">
    <w:abstractNumId w:val="62"/>
  </w:num>
  <w:num w:numId="22" w16cid:durableId="136341916">
    <w:abstractNumId w:val="41"/>
  </w:num>
  <w:num w:numId="23" w16cid:durableId="1382175639">
    <w:abstractNumId w:val="51"/>
  </w:num>
  <w:num w:numId="24" w16cid:durableId="44571865">
    <w:abstractNumId w:val="22"/>
  </w:num>
  <w:num w:numId="25" w16cid:durableId="1848204863">
    <w:abstractNumId w:val="1"/>
  </w:num>
  <w:num w:numId="26" w16cid:durableId="1620183615">
    <w:abstractNumId w:val="48"/>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59"/>
  </w:num>
  <w:num w:numId="28" w16cid:durableId="413863636">
    <w:abstractNumId w:val="29"/>
  </w:num>
  <w:num w:numId="29" w16cid:durableId="2060088507">
    <w:abstractNumId w:val="14"/>
  </w:num>
  <w:num w:numId="30" w16cid:durableId="2059357871">
    <w:abstractNumId w:val="33"/>
  </w:num>
  <w:num w:numId="31" w16cid:durableId="1203664882">
    <w:abstractNumId w:val="4"/>
  </w:num>
  <w:num w:numId="32" w16cid:durableId="1674187042">
    <w:abstractNumId w:val="46"/>
  </w:num>
  <w:num w:numId="33" w16cid:durableId="1734304775">
    <w:abstractNumId w:val="56"/>
  </w:num>
  <w:num w:numId="34" w16cid:durableId="445122100">
    <w:abstractNumId w:val="38"/>
  </w:num>
  <w:num w:numId="35" w16cid:durableId="519005873">
    <w:abstractNumId w:val="45"/>
  </w:num>
  <w:num w:numId="36" w16cid:durableId="1502548766">
    <w:abstractNumId w:val="23"/>
  </w:num>
  <w:num w:numId="37" w16cid:durableId="639269108">
    <w:abstractNumId w:val="15"/>
  </w:num>
  <w:num w:numId="38" w16cid:durableId="41104671">
    <w:abstractNumId w:val="32"/>
  </w:num>
  <w:num w:numId="39" w16cid:durableId="514225980">
    <w:abstractNumId w:val="8"/>
  </w:num>
  <w:num w:numId="40" w16cid:durableId="300810665">
    <w:abstractNumId w:val="7"/>
  </w:num>
  <w:num w:numId="41" w16cid:durableId="1708487058">
    <w:abstractNumId w:val="27"/>
  </w:num>
  <w:num w:numId="42" w16cid:durableId="811286138">
    <w:abstractNumId w:val="34"/>
  </w:num>
  <w:num w:numId="43" w16cid:durableId="213584505">
    <w:abstractNumId w:val="37"/>
  </w:num>
  <w:num w:numId="44" w16cid:durableId="1704210852">
    <w:abstractNumId w:val="0"/>
  </w:num>
  <w:num w:numId="45" w16cid:durableId="314116454">
    <w:abstractNumId w:val="12"/>
  </w:num>
  <w:num w:numId="46" w16cid:durableId="1309020941">
    <w:abstractNumId w:val="3"/>
  </w:num>
  <w:num w:numId="47" w16cid:durableId="239413172">
    <w:abstractNumId w:val="55"/>
  </w:num>
  <w:num w:numId="48" w16cid:durableId="1383096807">
    <w:abstractNumId w:val="52"/>
  </w:num>
  <w:num w:numId="49" w16cid:durableId="716976518">
    <w:abstractNumId w:val="57"/>
  </w:num>
  <w:num w:numId="50" w16cid:durableId="225456100">
    <w:abstractNumId w:val="31"/>
  </w:num>
  <w:num w:numId="51" w16cid:durableId="2002191260">
    <w:abstractNumId w:val="11"/>
  </w:num>
  <w:num w:numId="52" w16cid:durableId="673724450">
    <w:abstractNumId w:val="54"/>
  </w:num>
  <w:num w:numId="53" w16cid:durableId="552929525">
    <w:abstractNumId w:val="63"/>
  </w:num>
  <w:num w:numId="54" w16cid:durableId="1482506427">
    <w:abstractNumId w:val="10"/>
  </w:num>
  <w:num w:numId="55" w16cid:durableId="14115542">
    <w:abstractNumId w:val="6"/>
  </w:num>
  <w:num w:numId="56" w16cid:durableId="1937715311">
    <w:abstractNumId w:val="13"/>
  </w:num>
  <w:num w:numId="57" w16cid:durableId="1216116617">
    <w:abstractNumId w:val="30"/>
  </w:num>
  <w:num w:numId="58" w16cid:durableId="257297442">
    <w:abstractNumId w:val="28"/>
  </w:num>
  <w:num w:numId="59" w16cid:durableId="862665565">
    <w:abstractNumId w:val="53"/>
  </w:num>
  <w:num w:numId="60" w16cid:durableId="264266656">
    <w:abstractNumId w:val="19"/>
  </w:num>
  <w:num w:numId="61" w16cid:durableId="971443353">
    <w:abstractNumId w:val="2"/>
  </w:num>
  <w:num w:numId="62" w16cid:durableId="2080008321">
    <w:abstractNumId w:val="36"/>
  </w:num>
  <w:num w:numId="63" w16cid:durableId="1521578995">
    <w:abstractNumId w:val="9"/>
  </w:num>
  <w:num w:numId="64" w16cid:durableId="329990827">
    <w:abstractNumId w:val="26"/>
  </w:num>
  <w:num w:numId="65" w16cid:durableId="1727756478">
    <w:abstractNumId w:val="64"/>
  </w:num>
  <w:num w:numId="66" w16cid:durableId="1575435152">
    <w:abstractNumId w:val="58"/>
  </w:num>
  <w:num w:numId="67" w16cid:durableId="121754332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719CB"/>
    <w:rsid w:val="00160965"/>
    <w:rsid w:val="004E387B"/>
    <w:rsid w:val="005639B8"/>
    <w:rsid w:val="005D5B52"/>
    <w:rsid w:val="0074479E"/>
    <w:rsid w:val="009C4F33"/>
    <w:rsid w:val="00B82FE3"/>
    <w:rsid w:val="00C97A03"/>
    <w:rsid w:val="00D523EC"/>
    <w:rsid w:val="00D6213F"/>
    <w:rsid w:val="00E04F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1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6213F"/>
    <w:pPr>
      <w:suppressLineNumbers/>
    </w:pPr>
  </w:style>
  <w:style w:type="paragraph" w:customStyle="1" w:styleId="Standardowytekst">
    <w:name w:val="Standardowy.tekst"/>
    <w:rsid w:val="00D6213F"/>
    <w:pPr>
      <w:suppressAutoHyphens/>
      <w:overflowPunct w:val="0"/>
      <w:autoSpaceDE w:val="0"/>
      <w:autoSpaceDN w:val="0"/>
      <w:spacing w:after="0" w:line="240" w:lineRule="auto"/>
      <w:jc w:val="both"/>
      <w:textAlignment w:val="baseline"/>
    </w:pPr>
    <w:rPr>
      <w:rFonts w:ascii="Times New Roman" w:eastAsia="Times New Roman" w:hAnsi="Times New Roman" w:cs="Times New Roman"/>
      <w:kern w:val="3"/>
      <w:sz w:val="20"/>
      <w:szCs w:val="20"/>
      <w:lang w:eastAsia="zh-CN"/>
      <w14:ligatures w14:val="none"/>
    </w:rPr>
  </w:style>
  <w:style w:type="paragraph" w:styleId="Stopka">
    <w:name w:val="footer"/>
    <w:basedOn w:val="Standard"/>
    <w:link w:val="StopkaZnak"/>
    <w:rsid w:val="00160965"/>
    <w:pPr>
      <w:suppressLineNumbers/>
      <w:tabs>
        <w:tab w:val="center" w:pos="4819"/>
        <w:tab w:val="right" w:pos="9638"/>
      </w:tabs>
    </w:pPr>
  </w:style>
  <w:style w:type="character" w:customStyle="1" w:styleId="StopkaZnak">
    <w:name w:val="Stopka Znak"/>
    <w:basedOn w:val="Domylnaczcionkaakapitu"/>
    <w:link w:val="Stopka"/>
    <w:rsid w:val="00160965"/>
    <w:rPr>
      <w:rFonts w:ascii="Times New Roman" w:eastAsia="SimSun" w:hAnsi="Times New Roman" w:cs="Mangal"/>
      <w:kern w:val="3"/>
      <w:sz w:val="24"/>
      <w:szCs w:val="24"/>
      <w:lang w:eastAsia="zh-CN" w:bidi="hi-IN"/>
      <w14:ligatures w14:val="none"/>
    </w:rPr>
  </w:style>
  <w:style w:type="paragraph" w:customStyle="1" w:styleId="StylIwony">
    <w:name w:val="Styl Iwony"/>
    <w:basedOn w:val="Standard"/>
    <w:rsid w:val="00160965"/>
    <w:pPr>
      <w:spacing w:before="120" w:after="120"/>
    </w:pPr>
    <w:rPr>
      <w:rFonts w:ascii="Bookman Old Style" w:eastAsia="Bookman Old Style" w:hAnsi="Bookman Old Style" w:cs="Bookman Old Style"/>
    </w:rPr>
  </w:style>
  <w:style w:type="paragraph" w:customStyle="1" w:styleId="Tekstkomentarza2">
    <w:name w:val="Tekst komentarza2"/>
    <w:basedOn w:val="Standard"/>
    <w:rsid w:val="005639B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1934</Words>
  <Characters>11609</Characters>
  <Application>Microsoft Office Word</Application>
  <DocSecurity>0</DocSecurity>
  <Lines>96</Lines>
  <Paragraphs>27</Paragraphs>
  <ScaleCrop>false</ScaleCrop>
  <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2024-03-09T10:00:00Z</dcterms:created>
  <dcterms:modified xsi:type="dcterms:W3CDTF">2025-05-15T10:09:00Z</dcterms:modified>
</cp:coreProperties>
</file>